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7C7F0" w14:textId="77777777" w:rsidR="00C90775" w:rsidRPr="00B36258" w:rsidRDefault="00C90775" w:rsidP="00C90775">
      <w:pPr>
        <w:widowControl/>
        <w:autoSpaceDE/>
        <w:autoSpaceDN/>
        <w:spacing w:after="160" w:line="259" w:lineRule="auto"/>
        <w:rPr>
          <w:rFonts w:ascii="Century Gothic" w:eastAsia="Century Gothic" w:hAnsi="Century Gothic" w:cs="Century Gothic"/>
          <w:color w:val="C00000"/>
          <w:sz w:val="56"/>
          <w:szCs w:val="56"/>
          <w:lang w:val="ca-ES"/>
        </w:rPr>
      </w:pPr>
    </w:p>
    <w:p w14:paraId="21FE0866" w14:textId="77777777" w:rsidR="00C90775" w:rsidRPr="00B36258" w:rsidRDefault="00C90775" w:rsidP="00C90775">
      <w:pPr>
        <w:pStyle w:val="Ttol2"/>
        <w:spacing w:before="76"/>
        <w:rPr>
          <w:color w:val="C00000"/>
          <w:sz w:val="56"/>
          <w:szCs w:val="56"/>
          <w:lang w:val="ca-ES"/>
        </w:rPr>
      </w:pPr>
    </w:p>
    <w:p w14:paraId="2994EC1A" w14:textId="77777777" w:rsidR="00C90775" w:rsidRPr="00B36258" w:rsidRDefault="00C90775" w:rsidP="00C90775">
      <w:pPr>
        <w:pStyle w:val="Ttol2"/>
        <w:spacing w:before="76"/>
        <w:rPr>
          <w:color w:val="C00000"/>
          <w:sz w:val="56"/>
          <w:szCs w:val="56"/>
          <w:lang w:val="ca-ES"/>
        </w:rPr>
      </w:pPr>
    </w:p>
    <w:p w14:paraId="51325A04" w14:textId="77777777" w:rsidR="00C90775" w:rsidRPr="00B36258" w:rsidRDefault="00C90775" w:rsidP="00C90775">
      <w:pPr>
        <w:pStyle w:val="Ttol2"/>
        <w:spacing w:before="76"/>
        <w:rPr>
          <w:color w:val="C00000"/>
          <w:sz w:val="56"/>
          <w:szCs w:val="56"/>
          <w:lang w:val="ca-ES"/>
        </w:rPr>
      </w:pPr>
    </w:p>
    <w:p w14:paraId="13B42A9D" w14:textId="77777777" w:rsidR="00C90775" w:rsidRPr="00B36258" w:rsidRDefault="00C90775" w:rsidP="00C90775">
      <w:pPr>
        <w:pStyle w:val="Ttol2"/>
        <w:spacing w:before="76"/>
        <w:rPr>
          <w:color w:val="C00000"/>
          <w:sz w:val="56"/>
          <w:szCs w:val="56"/>
          <w:lang w:val="ca-ES"/>
        </w:rPr>
      </w:pPr>
    </w:p>
    <w:p w14:paraId="01D396BD" w14:textId="77777777" w:rsidR="00C90775" w:rsidRPr="00B36258" w:rsidRDefault="00C90775" w:rsidP="00C90775">
      <w:pPr>
        <w:pStyle w:val="Ttol2"/>
        <w:spacing w:before="76"/>
        <w:rPr>
          <w:color w:val="C00000"/>
          <w:sz w:val="56"/>
          <w:szCs w:val="56"/>
          <w:lang w:val="ca-ES"/>
        </w:rPr>
      </w:pPr>
    </w:p>
    <w:p w14:paraId="2D4A9200" w14:textId="2A86A0FA" w:rsidR="00C90775" w:rsidRPr="00B36258" w:rsidRDefault="008C1DD6" w:rsidP="00C247AE">
      <w:pPr>
        <w:pStyle w:val="Ttol2"/>
        <w:spacing w:before="76"/>
        <w:rPr>
          <w:b/>
          <w:bCs/>
          <w:color w:val="C00000"/>
          <w:sz w:val="52"/>
          <w:szCs w:val="52"/>
          <w:lang w:val="ca-ES"/>
        </w:rPr>
      </w:pPr>
      <w:r>
        <w:rPr>
          <w:b/>
          <w:bCs/>
          <w:color w:val="C00000"/>
          <w:sz w:val="52"/>
          <w:szCs w:val="52"/>
          <w:lang w:val="ca-ES"/>
        </w:rPr>
        <w:t>Pressupost 2026</w:t>
      </w:r>
    </w:p>
    <w:p w14:paraId="20CFCC77" w14:textId="77777777" w:rsidR="00C90775" w:rsidRPr="00B36258" w:rsidRDefault="00C90775" w:rsidP="00C90775">
      <w:pPr>
        <w:widowControl/>
        <w:autoSpaceDE/>
        <w:autoSpaceDN/>
        <w:spacing w:after="160" w:line="259" w:lineRule="auto"/>
        <w:rPr>
          <w:b/>
          <w:bCs/>
          <w:color w:val="C00000"/>
          <w:sz w:val="52"/>
          <w:szCs w:val="52"/>
          <w:lang w:val="ca-ES"/>
        </w:rPr>
      </w:pPr>
      <w:r w:rsidRPr="00B36258">
        <w:rPr>
          <w:b/>
          <w:bCs/>
          <w:color w:val="C00000"/>
          <w:sz w:val="52"/>
          <w:szCs w:val="52"/>
          <w:lang w:val="ca-ES"/>
        </w:rPr>
        <w:br w:type="page"/>
      </w:r>
    </w:p>
    <w:p w14:paraId="5EE3C021" w14:textId="77777777" w:rsidR="00C90775" w:rsidRPr="00B36258" w:rsidRDefault="00C90775" w:rsidP="00C90775">
      <w:pPr>
        <w:widowControl/>
        <w:autoSpaceDE/>
        <w:autoSpaceDN/>
        <w:spacing w:after="160" w:line="259" w:lineRule="auto"/>
        <w:rPr>
          <w:lang w:val="ca-ES"/>
        </w:rPr>
      </w:pPr>
    </w:p>
    <w:p w14:paraId="27D5FD48" w14:textId="77777777" w:rsidR="00C90775" w:rsidRPr="00B36258" w:rsidRDefault="00C90775" w:rsidP="00C90775">
      <w:pPr>
        <w:widowControl/>
        <w:autoSpaceDE/>
        <w:autoSpaceDN/>
        <w:spacing w:after="160" w:line="259" w:lineRule="auto"/>
        <w:rPr>
          <w:lang w:val="ca-ES"/>
        </w:rPr>
      </w:pPr>
    </w:p>
    <w:p w14:paraId="7D968558" w14:textId="77777777" w:rsidR="00C90775" w:rsidRPr="00B36258" w:rsidRDefault="00C90775" w:rsidP="00C247AE">
      <w:pPr>
        <w:tabs>
          <w:tab w:val="left" w:pos="1143"/>
        </w:tabs>
        <w:spacing w:before="88"/>
        <w:rPr>
          <w:rFonts w:ascii="Century Gothic" w:hAnsi="Century Gothic"/>
          <w:sz w:val="36"/>
          <w:lang w:val="ca-ES"/>
        </w:rPr>
      </w:pPr>
      <w:r w:rsidRPr="00B36258">
        <w:rPr>
          <w:rFonts w:ascii="Century Gothic" w:hAnsi="Century Gothic"/>
          <w:color w:val="C00000"/>
          <w:sz w:val="36"/>
          <w:u w:val="single" w:color="FCDBDB"/>
          <w:lang w:val="ca-ES"/>
        </w:rPr>
        <w:t>Bases per a l’avaluació d’ingressos i</w:t>
      </w:r>
      <w:r w:rsidRPr="00B36258">
        <w:rPr>
          <w:rFonts w:ascii="Century Gothic" w:hAnsi="Century Gothic"/>
          <w:color w:val="C00000"/>
          <w:spacing w:val="-8"/>
          <w:sz w:val="36"/>
          <w:u w:val="single" w:color="FCDBDB"/>
          <w:lang w:val="ca-ES"/>
        </w:rPr>
        <w:t xml:space="preserve"> </w:t>
      </w:r>
      <w:r w:rsidRPr="00B36258">
        <w:rPr>
          <w:rFonts w:ascii="Century Gothic" w:hAnsi="Century Gothic"/>
          <w:color w:val="C00000"/>
          <w:sz w:val="36"/>
          <w:u w:val="single" w:color="FCDBDB"/>
          <w:lang w:val="ca-ES"/>
        </w:rPr>
        <w:t>despeses</w:t>
      </w:r>
      <w:r w:rsidRPr="00B36258">
        <w:rPr>
          <w:rFonts w:ascii="Century Gothic" w:hAnsi="Century Gothic"/>
          <w:color w:val="C00000"/>
          <w:spacing w:val="-23"/>
          <w:sz w:val="36"/>
          <w:u w:val="single" w:color="FCDBDB"/>
          <w:lang w:val="ca-ES"/>
        </w:rPr>
        <w:t xml:space="preserve"> </w:t>
      </w:r>
    </w:p>
    <w:p w14:paraId="128682AC" w14:textId="77777777" w:rsidR="00C90775" w:rsidRPr="00B36258" w:rsidRDefault="00C90775" w:rsidP="00C90775">
      <w:pPr>
        <w:rPr>
          <w:rFonts w:ascii="Century Gothic"/>
          <w:sz w:val="20"/>
          <w:lang w:val="ca-ES"/>
        </w:rPr>
      </w:pPr>
    </w:p>
    <w:p w14:paraId="4D4FC425" w14:textId="77777777" w:rsidR="00C90775" w:rsidRPr="00B36258" w:rsidRDefault="00C90775" w:rsidP="00C90775">
      <w:pPr>
        <w:rPr>
          <w:rFonts w:ascii="Century Gothic"/>
          <w:sz w:val="20"/>
          <w:lang w:val="ca-ES"/>
        </w:rPr>
      </w:pPr>
    </w:p>
    <w:p w14:paraId="7F38CF67" w14:textId="77777777" w:rsidR="00C90775" w:rsidRPr="00B36258" w:rsidRDefault="00C90775" w:rsidP="00C90775">
      <w:pPr>
        <w:spacing w:before="12"/>
        <w:rPr>
          <w:rFonts w:ascii="Century Gothic"/>
          <w:sz w:val="25"/>
          <w:lang w:val="ca-ES"/>
        </w:rPr>
      </w:pPr>
    </w:p>
    <w:p w14:paraId="41799B34" w14:textId="77777777" w:rsidR="00C90775" w:rsidRPr="00B36258" w:rsidRDefault="00C90775" w:rsidP="00C90775">
      <w:pPr>
        <w:spacing w:before="99"/>
        <w:rPr>
          <w:rFonts w:ascii="Garamond"/>
          <w:b/>
          <w:sz w:val="26"/>
          <w:lang w:val="ca-ES"/>
        </w:rPr>
      </w:pPr>
      <w:bookmarkStart w:id="0" w:name="_Hlk179220778"/>
      <w:r w:rsidRPr="00B36258">
        <w:rPr>
          <w:rFonts w:ascii="Garamond"/>
          <w:b/>
          <w:color w:val="C00000"/>
          <w:sz w:val="26"/>
          <w:lang w:val="ca-ES"/>
        </w:rPr>
        <w:t>INGRESSOS</w:t>
      </w:r>
    </w:p>
    <w:p w14:paraId="7143EC3C" w14:textId="77777777" w:rsidR="00C90775" w:rsidRPr="00B36258" w:rsidRDefault="00C90775" w:rsidP="00C90775">
      <w:pPr>
        <w:rPr>
          <w:rFonts w:ascii="Garamond"/>
          <w:b/>
          <w:sz w:val="28"/>
          <w:lang w:val="ca-ES"/>
        </w:rPr>
      </w:pPr>
    </w:p>
    <w:p w14:paraId="55CAAB89" w14:textId="302D4F02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Relacionem a continuació la previsió d’ingressos pels diversos conceptes pressupostaris que comptem per a l’exercici 202</w:t>
      </w:r>
      <w:r w:rsidR="00543B6E">
        <w:rPr>
          <w:lang w:val="ca-ES"/>
        </w:rPr>
        <w:t>6</w:t>
      </w:r>
    </w:p>
    <w:p w14:paraId="3820B069" w14:textId="77777777" w:rsidR="00B8030B" w:rsidRDefault="00B8030B" w:rsidP="00B8030B">
      <w:pPr>
        <w:spacing w:after="120"/>
        <w:jc w:val="both"/>
        <w:rPr>
          <w:lang w:val="ca-ES"/>
        </w:rPr>
      </w:pPr>
    </w:p>
    <w:p w14:paraId="5B239CC8" w14:textId="33B4E418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La part d’ingressos corresponents a </w:t>
      </w:r>
      <w:r w:rsidR="00B8030B">
        <w:rPr>
          <w:u w:val="single"/>
          <w:lang w:val="ca-ES"/>
        </w:rPr>
        <w:t>C</w:t>
      </w:r>
      <w:r w:rsidRPr="00B8030B">
        <w:rPr>
          <w:u w:val="single"/>
          <w:lang w:val="ca-ES"/>
        </w:rPr>
        <w:t>apítol 3</w:t>
      </w:r>
      <w:r w:rsidRPr="00B8030B">
        <w:rPr>
          <w:lang w:val="ca-ES"/>
        </w:rPr>
        <w:t xml:space="preserve"> cal destacar-ne el següent:</w:t>
      </w:r>
    </w:p>
    <w:p w14:paraId="004281B9" w14:textId="286E626F" w:rsidR="00C90775" w:rsidRPr="00B8030B" w:rsidRDefault="00C90775" w:rsidP="00B8030B">
      <w:pPr>
        <w:numPr>
          <w:ilvl w:val="0"/>
          <w:numId w:val="3"/>
        </w:numPr>
        <w:spacing w:after="120"/>
        <w:jc w:val="both"/>
        <w:rPr>
          <w:lang w:val="ca-ES"/>
        </w:rPr>
      </w:pPr>
      <w:r w:rsidRPr="00B8030B">
        <w:rPr>
          <w:lang w:val="ca-ES"/>
        </w:rPr>
        <w:t>Hem previst mantenir una ocupació del 60% l’aforament de mitjana al conjunt de la programació, la qual cos</w:t>
      </w:r>
      <w:r w:rsidR="00543B6E">
        <w:rPr>
          <w:lang w:val="ca-ES"/>
        </w:rPr>
        <w:t xml:space="preserve">a </w:t>
      </w:r>
      <w:r w:rsidRPr="00B8030B">
        <w:rPr>
          <w:lang w:val="ca-ES"/>
        </w:rPr>
        <w:t xml:space="preserve">ens situa en una previsió de recaptació per taquilla de 420.000€, </w:t>
      </w:r>
      <w:r w:rsidR="00543B6E">
        <w:rPr>
          <w:lang w:val="ca-ES"/>
        </w:rPr>
        <w:t>igualada a</w:t>
      </w:r>
      <w:r w:rsidRPr="00B8030B">
        <w:rPr>
          <w:lang w:val="ca-ES"/>
        </w:rPr>
        <w:t xml:space="preserve"> la previsió </w:t>
      </w:r>
      <w:r w:rsidR="00543B6E">
        <w:rPr>
          <w:lang w:val="ca-ES"/>
        </w:rPr>
        <w:t>de</w:t>
      </w:r>
      <w:r w:rsidRPr="00B8030B">
        <w:rPr>
          <w:lang w:val="ca-ES"/>
        </w:rPr>
        <w:t xml:space="preserve"> l’exercici anterior.</w:t>
      </w:r>
    </w:p>
    <w:p w14:paraId="12773A40" w14:textId="77777777" w:rsidR="00C90775" w:rsidRPr="00B8030B" w:rsidRDefault="00C90775" w:rsidP="00B8030B">
      <w:pPr>
        <w:numPr>
          <w:ilvl w:val="0"/>
          <w:numId w:val="3"/>
        </w:num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A l’apartat </w:t>
      </w:r>
      <w:r w:rsidRPr="00B8030B">
        <w:rPr>
          <w:i/>
          <w:iCs/>
          <w:lang w:val="ca-ES"/>
        </w:rPr>
        <w:t xml:space="preserve">Altres ingressos Mercat </w:t>
      </w:r>
      <w:r w:rsidRPr="00B8030B">
        <w:rPr>
          <w:lang w:val="ca-ES"/>
        </w:rPr>
        <w:t>hi incloem</w:t>
      </w:r>
      <w:r w:rsidRPr="00B8030B">
        <w:rPr>
          <w:i/>
          <w:iCs/>
          <w:lang w:val="ca-ES"/>
        </w:rPr>
        <w:t xml:space="preserve"> </w:t>
      </w:r>
      <w:r w:rsidRPr="00B8030B">
        <w:rPr>
          <w:lang w:val="ca-ES"/>
        </w:rPr>
        <w:t>ingressos provinents dels conceptes següents:</w:t>
      </w:r>
    </w:p>
    <w:p w14:paraId="03026AE5" w14:textId="42B8BCB2" w:rsidR="00C90775" w:rsidRPr="00B8030B" w:rsidRDefault="00C90775" w:rsidP="00B8030B">
      <w:pPr>
        <w:numPr>
          <w:ilvl w:val="1"/>
          <w:numId w:val="3"/>
        </w:numPr>
        <w:spacing w:after="120"/>
        <w:jc w:val="both"/>
        <w:rPr>
          <w:lang w:val="ca-ES"/>
        </w:rPr>
      </w:pPr>
      <w:r w:rsidRPr="00B8030B">
        <w:rPr>
          <w:lang w:val="ca-ES"/>
        </w:rPr>
        <w:t>La recuperació d’IVA preveiem que es mantindrà en relació a la prevista l’any passat que es va fixar en 2</w:t>
      </w:r>
      <w:r w:rsidR="00B84D0E">
        <w:rPr>
          <w:lang w:val="ca-ES"/>
        </w:rPr>
        <w:t>0</w:t>
      </w:r>
      <w:r w:rsidRPr="00B8030B">
        <w:rPr>
          <w:lang w:val="ca-ES"/>
        </w:rPr>
        <w:t>0.000€, especialment per l‘increment de la despesa derivada de les obres que s’hauran d’afrontar, i en un manteniment de la prorrata de l’IVA, donat que ja hem rebut sol·licituds de reserves de sales per a lloguers per a la temporada vinent.</w:t>
      </w:r>
    </w:p>
    <w:p w14:paraId="0ECB732C" w14:textId="77777777" w:rsidR="00C90775" w:rsidRPr="00B8030B" w:rsidRDefault="00C90775" w:rsidP="00B8030B">
      <w:pPr>
        <w:numPr>
          <w:ilvl w:val="1"/>
          <w:numId w:val="3"/>
        </w:numPr>
        <w:spacing w:after="120"/>
        <w:jc w:val="both"/>
        <w:rPr>
          <w:lang w:val="ca-ES"/>
        </w:rPr>
      </w:pPr>
      <w:r w:rsidRPr="00B8030B">
        <w:rPr>
          <w:lang w:val="ca-ES"/>
        </w:rPr>
        <w:t>Mantenim la previsió d’ingressos per la venda de publicacions de 2.000€</w:t>
      </w:r>
    </w:p>
    <w:p w14:paraId="2E0E0974" w14:textId="77777777" w:rsidR="00C90775" w:rsidRPr="00B8030B" w:rsidRDefault="00C90775" w:rsidP="00B8030B">
      <w:pPr>
        <w:numPr>
          <w:ilvl w:val="0"/>
          <w:numId w:val="3"/>
        </w:numPr>
        <w:spacing w:after="120"/>
        <w:jc w:val="both"/>
        <w:rPr>
          <w:lang w:val="ca-ES"/>
        </w:rPr>
      </w:pPr>
      <w:r w:rsidRPr="00B8030B">
        <w:rPr>
          <w:lang w:val="ca-ES"/>
        </w:rPr>
        <w:t>En el concepte d’</w:t>
      </w:r>
      <w:r w:rsidRPr="00B8030B">
        <w:rPr>
          <w:i/>
          <w:iCs/>
          <w:lang w:val="ca-ES"/>
        </w:rPr>
        <w:t>Ingressos propis Graner</w:t>
      </w:r>
      <w:r w:rsidRPr="00B8030B">
        <w:rPr>
          <w:lang w:val="ca-ES"/>
        </w:rPr>
        <w:t xml:space="preserve"> ajustem la previsió a 4.000€ donat que és la quantitat que s’ha realitzat per aquest concepte a final d’any.</w:t>
      </w:r>
    </w:p>
    <w:p w14:paraId="6B8D7917" w14:textId="77777777" w:rsidR="00C90775" w:rsidRPr="00B8030B" w:rsidRDefault="00C90775" w:rsidP="00B8030B">
      <w:pPr>
        <w:spacing w:after="120"/>
        <w:jc w:val="both"/>
        <w:rPr>
          <w:lang w:val="ca-ES"/>
        </w:rPr>
      </w:pPr>
    </w:p>
    <w:p w14:paraId="2D6B647D" w14:textId="77777777" w:rsidR="00C90775" w:rsidRPr="00501650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En la part corresponent a la previsió d’ingressos de </w:t>
      </w:r>
      <w:r w:rsidRPr="00B8030B">
        <w:rPr>
          <w:u w:val="single"/>
          <w:lang w:val="ca-ES"/>
        </w:rPr>
        <w:t>Capítol 4</w:t>
      </w:r>
      <w:r w:rsidRPr="00B8030B">
        <w:rPr>
          <w:lang w:val="ca-ES"/>
        </w:rPr>
        <w:t xml:space="preserve">, en el que fa referència a les </w:t>
      </w:r>
      <w:r w:rsidRPr="00501650">
        <w:rPr>
          <w:lang w:val="ca-ES"/>
        </w:rPr>
        <w:t>aportacions de les administracions consorciades, la situació relativa a la part destinada a activitat ordinària és diferent per a cada una d’elles</w:t>
      </w:r>
    </w:p>
    <w:p w14:paraId="705C217B" w14:textId="459B7753" w:rsidR="00501650" w:rsidRDefault="00501650" w:rsidP="00501650">
      <w:pPr>
        <w:numPr>
          <w:ilvl w:val="0"/>
          <w:numId w:val="4"/>
        </w:numPr>
        <w:spacing w:before="214"/>
        <w:jc w:val="both"/>
        <w:rPr>
          <w:lang w:val="ca-ES"/>
        </w:rPr>
      </w:pPr>
      <w:r w:rsidRPr="00501650">
        <w:rPr>
          <w:lang w:val="ca-ES"/>
        </w:rPr>
        <w:t xml:space="preserve">Per part de l’Ajuntament de Barcelona se’ns manifesta que, </w:t>
      </w:r>
      <w:r w:rsidR="00543B6E">
        <w:rPr>
          <w:lang w:val="ca-ES"/>
        </w:rPr>
        <w:t>tot i que es manté el dubte de si es podran aprovar pressupostos en l’àmbit municipal per a l’exercici 2026, comptem amb la mateixa xifra de l’aportació inicial de l’exercici anterior, incrementada amb una partida d’increment de capítol 1, que en total configura una aportació de 2.</w:t>
      </w:r>
      <w:r w:rsidR="001921F1">
        <w:rPr>
          <w:lang w:val="ca-ES"/>
        </w:rPr>
        <w:t>583.304,64</w:t>
      </w:r>
      <w:r w:rsidR="00543B6E">
        <w:rPr>
          <w:lang w:val="ca-ES"/>
        </w:rPr>
        <w:t>€</w:t>
      </w:r>
      <w:r w:rsidRPr="00501650">
        <w:rPr>
          <w:lang w:val="ca-ES"/>
        </w:rPr>
        <w:t>.</w:t>
      </w:r>
    </w:p>
    <w:p w14:paraId="70EACFF6" w14:textId="143AEEA6" w:rsidR="00C90775" w:rsidRPr="00543B6E" w:rsidRDefault="00C90775" w:rsidP="00543B6E">
      <w:pPr>
        <w:numPr>
          <w:ilvl w:val="0"/>
          <w:numId w:val="4"/>
        </w:numPr>
        <w:spacing w:before="214"/>
        <w:jc w:val="both"/>
        <w:rPr>
          <w:lang w:val="ca-ES"/>
        </w:rPr>
      </w:pPr>
      <w:r w:rsidRPr="00543B6E">
        <w:rPr>
          <w:lang w:val="ca-ES"/>
        </w:rPr>
        <w:t>Com ja s’ha anat produint els darrers anys, l’Ajuntament de Barcelona també fa a banda una aportació específica vinculada a la Fàbrica de Creació el Graner, que per a 202</w:t>
      </w:r>
      <w:r w:rsidR="00543B6E">
        <w:rPr>
          <w:lang w:val="ca-ES"/>
        </w:rPr>
        <w:t>6</w:t>
      </w:r>
      <w:r w:rsidRPr="00543B6E">
        <w:rPr>
          <w:lang w:val="ca-ES"/>
        </w:rPr>
        <w:t xml:space="preserve"> es </w:t>
      </w:r>
      <w:r w:rsidR="00543B6E">
        <w:rPr>
          <w:lang w:val="ca-ES"/>
        </w:rPr>
        <w:t xml:space="preserve">quantifica </w:t>
      </w:r>
      <w:r w:rsidRPr="00543B6E">
        <w:rPr>
          <w:lang w:val="ca-ES"/>
        </w:rPr>
        <w:t xml:space="preserve"> en els </w:t>
      </w:r>
      <w:r w:rsidR="00543B6E">
        <w:rPr>
          <w:lang w:val="ca-ES"/>
        </w:rPr>
        <w:t>351.962,75</w:t>
      </w:r>
      <w:r w:rsidRPr="00543B6E">
        <w:rPr>
          <w:lang w:val="ca-ES"/>
        </w:rPr>
        <w:t>€</w:t>
      </w:r>
      <w:r w:rsidR="00543B6E">
        <w:rPr>
          <w:lang w:val="ca-ES"/>
        </w:rPr>
        <w:t xml:space="preserve">, la qual cosa significa un increment </w:t>
      </w:r>
      <w:r w:rsidR="00584060">
        <w:rPr>
          <w:lang w:val="ca-ES"/>
        </w:rPr>
        <w:t>d’aportacions del 15,23%</w:t>
      </w:r>
    </w:p>
    <w:p w14:paraId="5E929D88" w14:textId="77777777" w:rsidR="00DD3005" w:rsidRPr="00B8030B" w:rsidRDefault="00DD3005" w:rsidP="00B8030B">
      <w:pPr>
        <w:pStyle w:val="Pargrafdellista"/>
        <w:widowControl/>
        <w:adjustRightInd w:val="0"/>
        <w:spacing w:after="120"/>
        <w:ind w:left="360"/>
        <w:contextualSpacing w:val="0"/>
        <w:jc w:val="both"/>
        <w:rPr>
          <w:rFonts w:eastAsiaTheme="minorHAnsi"/>
          <w:lang w:val="ca-ES"/>
          <w14:ligatures w14:val="standardContextual"/>
        </w:rPr>
      </w:pPr>
    </w:p>
    <w:p w14:paraId="2BDF748C" w14:textId="14873ED1" w:rsidR="00501650" w:rsidRPr="009E0390" w:rsidRDefault="009B4871" w:rsidP="00584060">
      <w:pPr>
        <w:pStyle w:val="Pargrafdellista"/>
        <w:widowControl/>
        <w:numPr>
          <w:ilvl w:val="0"/>
          <w:numId w:val="4"/>
        </w:numPr>
        <w:adjustRightInd w:val="0"/>
        <w:spacing w:after="120"/>
        <w:contextualSpacing w:val="0"/>
        <w:jc w:val="both"/>
        <w:rPr>
          <w:color w:val="3A7C22" w:themeColor="accent6" w:themeShade="BF"/>
          <w:lang w:val="ca-ES"/>
        </w:rPr>
      </w:pPr>
      <w:r w:rsidRPr="009E0390">
        <w:rPr>
          <w:rFonts w:eastAsiaTheme="minorHAnsi"/>
          <w:color w:val="3A7C22" w:themeColor="accent6" w:themeShade="BF"/>
          <w:lang w:val="ca-ES"/>
          <w14:ligatures w14:val="standardContextual"/>
        </w:rPr>
        <w:lastRenderedPageBreak/>
        <w:t xml:space="preserve">Per la seva banda, des de la Generalitat de Catalunya ens manifesten que </w:t>
      </w:r>
      <w:r w:rsidR="00584060" w:rsidRPr="009E0390">
        <w:rPr>
          <w:rFonts w:eastAsiaTheme="minorHAnsi"/>
          <w:color w:val="3A7C22" w:themeColor="accent6" w:themeShade="BF"/>
          <w:lang w:val="ca-ES"/>
          <w14:ligatures w14:val="standardContextual"/>
        </w:rPr>
        <w:t>a falta de poder aprovar pressupostos, la situació actual és que només poden confirmar l’aportació ordinària aprovada i prorrogada en el pressupost de l’exercici anterior, en aquest cas correspon a 1.725.000,00€ per a activitat, i una aportació específica per a gires per al territori català de 150.000,00€ addicionals</w:t>
      </w:r>
    </w:p>
    <w:p w14:paraId="51D425DE" w14:textId="77777777" w:rsidR="00B8030B" w:rsidRPr="00B8030B" w:rsidRDefault="00B8030B" w:rsidP="00B8030B">
      <w:pPr>
        <w:spacing w:after="120"/>
        <w:jc w:val="both"/>
        <w:rPr>
          <w:lang w:val="ca-ES"/>
        </w:rPr>
      </w:pPr>
    </w:p>
    <w:p w14:paraId="65878D41" w14:textId="3CACF231" w:rsidR="00C90775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Pel que fa referència a les aportacions que rep el Consorci per part d’altres Administracions i entitats, podem preveure el següent:</w:t>
      </w:r>
    </w:p>
    <w:p w14:paraId="34A3C3EC" w14:textId="77777777" w:rsidR="00C853BC" w:rsidRPr="00B8030B" w:rsidRDefault="00C853BC" w:rsidP="00B8030B">
      <w:pPr>
        <w:spacing w:after="120"/>
        <w:jc w:val="both"/>
        <w:rPr>
          <w:lang w:val="ca-ES"/>
        </w:rPr>
      </w:pPr>
    </w:p>
    <w:p w14:paraId="1C42E37D" w14:textId="43094667" w:rsidR="00C90775" w:rsidRDefault="00C90775" w:rsidP="00B8030B">
      <w:pPr>
        <w:pStyle w:val="Pargrafdellista"/>
        <w:numPr>
          <w:ilvl w:val="0"/>
          <w:numId w:val="7"/>
        </w:numPr>
        <w:spacing w:after="120"/>
        <w:ind w:left="360"/>
        <w:contextualSpacing w:val="0"/>
        <w:jc w:val="both"/>
        <w:rPr>
          <w:lang w:val="ca-ES"/>
        </w:rPr>
      </w:pPr>
      <w:r w:rsidRPr="00B8030B">
        <w:rPr>
          <w:lang w:val="ca-ES"/>
        </w:rPr>
        <w:t xml:space="preserve">Des del </w:t>
      </w:r>
      <w:proofErr w:type="spellStart"/>
      <w:r w:rsidRPr="00B8030B">
        <w:rPr>
          <w:lang w:val="ca-ES"/>
        </w:rPr>
        <w:t>Ministerio</w:t>
      </w:r>
      <w:proofErr w:type="spellEnd"/>
      <w:r w:rsidRPr="00B8030B">
        <w:rPr>
          <w:lang w:val="ca-ES"/>
        </w:rPr>
        <w:t xml:space="preserve"> han manifestat que </w:t>
      </w:r>
      <w:r w:rsidR="00584060">
        <w:rPr>
          <w:lang w:val="ca-ES"/>
        </w:rPr>
        <w:t>també estan pendents de poder aprovar pressupostos per a l’exercici 2026, i en aquesta situació només es poden donar per compromesos els 300.000,00€ que van constar al darrer pressupost aprovat</w:t>
      </w:r>
    </w:p>
    <w:p w14:paraId="341588C4" w14:textId="77777777" w:rsidR="00C853BC" w:rsidRPr="00082058" w:rsidRDefault="00C853BC" w:rsidP="00082058">
      <w:pPr>
        <w:jc w:val="both"/>
        <w:rPr>
          <w:lang w:val="ca-ES"/>
        </w:rPr>
      </w:pPr>
    </w:p>
    <w:p w14:paraId="2A127EB4" w14:textId="77777777" w:rsidR="00C90775" w:rsidRDefault="00C90775" w:rsidP="00B8030B">
      <w:pPr>
        <w:pStyle w:val="Pargrafdellista"/>
        <w:numPr>
          <w:ilvl w:val="0"/>
          <w:numId w:val="7"/>
        </w:numPr>
        <w:spacing w:after="120"/>
        <w:ind w:left="360"/>
        <w:contextualSpacing w:val="0"/>
        <w:jc w:val="both"/>
        <w:rPr>
          <w:lang w:val="ca-ES"/>
        </w:rPr>
      </w:pPr>
      <w:r w:rsidRPr="00B8030B">
        <w:rPr>
          <w:lang w:val="ca-ES"/>
        </w:rPr>
        <w:t>A la part d’altres administracions, el Graner compta amb poder seguir comptant amb una aportació que fa regularment l’Ajuntament de Mataró al programa de suport a la creació que s’ha mantingut les darreres edicions en 1.700,00€</w:t>
      </w:r>
    </w:p>
    <w:p w14:paraId="017865AC" w14:textId="77777777" w:rsidR="00C853BC" w:rsidRPr="00C853BC" w:rsidRDefault="00C853BC" w:rsidP="00C853BC">
      <w:pPr>
        <w:jc w:val="both"/>
        <w:rPr>
          <w:lang w:val="ca-ES"/>
        </w:rPr>
      </w:pPr>
    </w:p>
    <w:p w14:paraId="1D998755" w14:textId="1E49BC2F" w:rsidR="00DD3005" w:rsidRDefault="00DD3005" w:rsidP="00B8030B">
      <w:pPr>
        <w:pStyle w:val="Pargrafdellista"/>
        <w:numPr>
          <w:ilvl w:val="0"/>
          <w:numId w:val="7"/>
        </w:numPr>
        <w:spacing w:after="120"/>
        <w:ind w:left="360"/>
        <w:contextualSpacing w:val="0"/>
        <w:jc w:val="both"/>
        <w:rPr>
          <w:lang w:val="ca-ES"/>
        </w:rPr>
      </w:pPr>
      <w:r w:rsidRPr="00B8030B">
        <w:rPr>
          <w:lang w:val="ca-ES"/>
        </w:rPr>
        <w:t xml:space="preserve">Incorporem també en pressupost inicial una aportació prevista per part de l’IMEB per import de </w:t>
      </w:r>
      <w:r w:rsidR="003B54BD">
        <w:rPr>
          <w:lang w:val="ca-ES"/>
        </w:rPr>
        <w:t>11.620</w:t>
      </w:r>
      <w:r w:rsidR="00082058">
        <w:rPr>
          <w:lang w:val="ca-ES"/>
        </w:rPr>
        <w:t>,00</w:t>
      </w:r>
      <w:r w:rsidRPr="00B8030B">
        <w:rPr>
          <w:lang w:val="ca-ES"/>
        </w:rPr>
        <w:t>€ que es destinaran a activitat gestionada des de projectes educatius</w:t>
      </w:r>
      <w:r w:rsidR="00B8030B" w:rsidRPr="00B8030B">
        <w:rPr>
          <w:lang w:val="ca-ES"/>
        </w:rPr>
        <w:t>.</w:t>
      </w:r>
    </w:p>
    <w:p w14:paraId="6EC077A4" w14:textId="77777777" w:rsidR="002E2CEC" w:rsidRPr="002E2CEC" w:rsidRDefault="002E2CEC" w:rsidP="002E2CEC">
      <w:pPr>
        <w:pStyle w:val="Pargrafdellista"/>
        <w:rPr>
          <w:lang w:val="ca-ES"/>
        </w:rPr>
      </w:pPr>
    </w:p>
    <w:p w14:paraId="2BF846CA" w14:textId="3D323BB8" w:rsidR="002E2CEC" w:rsidRPr="00B8030B" w:rsidRDefault="002E2CEC" w:rsidP="00B8030B">
      <w:pPr>
        <w:pStyle w:val="Pargrafdellista"/>
        <w:numPr>
          <w:ilvl w:val="0"/>
          <w:numId w:val="7"/>
        </w:numPr>
        <w:spacing w:after="120"/>
        <w:ind w:left="360"/>
        <w:contextualSpacing w:val="0"/>
        <w:jc w:val="both"/>
        <w:rPr>
          <w:lang w:val="ca-ES"/>
        </w:rPr>
      </w:pPr>
      <w:r>
        <w:rPr>
          <w:lang w:val="ca-ES"/>
        </w:rPr>
        <w:t xml:space="preserve">També com en edicions anteriors, comptem amb una aportació de la Fundació Banc de Sabadell de </w:t>
      </w:r>
      <w:r w:rsidR="00B84D0E">
        <w:rPr>
          <w:lang w:val="ca-ES"/>
        </w:rPr>
        <w:t>14.702,25</w:t>
      </w:r>
      <w:r>
        <w:rPr>
          <w:lang w:val="ca-ES"/>
        </w:rPr>
        <w:t>€ que es destinaran al suport a artistes en fase de creació.</w:t>
      </w:r>
    </w:p>
    <w:p w14:paraId="67604C1A" w14:textId="77777777" w:rsidR="00C853BC" w:rsidRDefault="00C853BC" w:rsidP="00C853BC">
      <w:pPr>
        <w:jc w:val="both"/>
        <w:rPr>
          <w:lang w:val="ca-ES"/>
        </w:rPr>
      </w:pPr>
    </w:p>
    <w:p w14:paraId="229392F0" w14:textId="43FC83CA" w:rsidR="00C90775" w:rsidRPr="009E0390" w:rsidRDefault="00C90775" w:rsidP="00B8030B">
      <w:pPr>
        <w:spacing w:after="120"/>
        <w:jc w:val="both"/>
        <w:rPr>
          <w:color w:val="3A7C22" w:themeColor="accent6" w:themeShade="BF"/>
          <w:lang w:val="ca-ES"/>
        </w:rPr>
      </w:pPr>
      <w:r w:rsidRPr="00B8030B">
        <w:rPr>
          <w:lang w:val="ca-ES"/>
        </w:rPr>
        <w:t>El conjunt d’aportacions corresponents al capítol 4 que podem fer constar a pressupost inicial de 202</w:t>
      </w:r>
      <w:r w:rsidR="00082058">
        <w:rPr>
          <w:lang w:val="ca-ES"/>
        </w:rPr>
        <w:t>6</w:t>
      </w:r>
      <w:r w:rsidRPr="00B8030B">
        <w:rPr>
          <w:lang w:val="ca-ES"/>
        </w:rPr>
        <w:t xml:space="preserve"> és de </w:t>
      </w:r>
      <w:r w:rsidR="003B54BD" w:rsidRPr="003B54BD">
        <w:rPr>
          <w:color w:val="3A7C22" w:themeColor="accent6" w:themeShade="BF"/>
          <w:lang w:val="ca-ES"/>
        </w:rPr>
        <w:t>5.138.290,14€</w:t>
      </w:r>
    </w:p>
    <w:p w14:paraId="3EC2AC62" w14:textId="3D9D43C4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En números absoluts, el capítol 4 de 202</w:t>
      </w:r>
      <w:r w:rsidR="00082058">
        <w:rPr>
          <w:lang w:val="ca-ES"/>
        </w:rPr>
        <w:t>6</w:t>
      </w:r>
      <w:r w:rsidRPr="00B8030B">
        <w:rPr>
          <w:lang w:val="ca-ES"/>
        </w:rPr>
        <w:t xml:space="preserve"> és </w:t>
      </w:r>
      <w:r w:rsidR="00082058">
        <w:rPr>
          <w:lang w:val="ca-ES"/>
        </w:rPr>
        <w:t>significativament inferior</w:t>
      </w:r>
      <w:r w:rsidRPr="00B8030B">
        <w:rPr>
          <w:lang w:val="ca-ES"/>
        </w:rPr>
        <w:t xml:space="preserve"> al que es feia constar al pressupost inicial de 202</w:t>
      </w:r>
      <w:r w:rsidR="00082058">
        <w:rPr>
          <w:lang w:val="ca-ES"/>
        </w:rPr>
        <w:t>5</w:t>
      </w:r>
      <w:r w:rsidRPr="00B8030B">
        <w:rPr>
          <w:lang w:val="ca-ES"/>
        </w:rPr>
        <w:t xml:space="preserve"> </w:t>
      </w:r>
      <w:r w:rsidR="00082058">
        <w:rPr>
          <w:lang w:val="ca-ES"/>
        </w:rPr>
        <w:t xml:space="preserve">amb una davallada de </w:t>
      </w:r>
      <w:r w:rsidR="00082058" w:rsidRPr="009E0390">
        <w:rPr>
          <w:color w:val="3A7C22" w:themeColor="accent6" w:themeShade="BF"/>
          <w:lang w:val="ca-ES"/>
        </w:rPr>
        <w:t>-20,</w:t>
      </w:r>
      <w:r w:rsidR="003B54BD">
        <w:rPr>
          <w:color w:val="3A7C22" w:themeColor="accent6" w:themeShade="BF"/>
          <w:lang w:val="ca-ES"/>
        </w:rPr>
        <w:t>26</w:t>
      </w:r>
      <w:r w:rsidRPr="009E0390">
        <w:rPr>
          <w:color w:val="3A7C22" w:themeColor="accent6" w:themeShade="BF"/>
          <w:lang w:val="ca-ES"/>
        </w:rPr>
        <w:t>%</w:t>
      </w:r>
      <w:r w:rsidRPr="00B8030B">
        <w:rPr>
          <w:lang w:val="ca-ES"/>
        </w:rPr>
        <w:t>.</w:t>
      </w:r>
    </w:p>
    <w:p w14:paraId="7663A18E" w14:textId="77777777" w:rsidR="00C853BC" w:rsidRDefault="00C853BC" w:rsidP="00B8030B">
      <w:pPr>
        <w:spacing w:after="120"/>
        <w:jc w:val="both"/>
        <w:rPr>
          <w:lang w:val="ca-ES"/>
        </w:rPr>
      </w:pPr>
    </w:p>
    <w:p w14:paraId="4D5C00B8" w14:textId="0654100F" w:rsidR="00C90775" w:rsidRPr="00B8030B" w:rsidRDefault="00C853BC" w:rsidP="00B8030B">
      <w:pPr>
        <w:spacing w:after="120"/>
        <w:jc w:val="both"/>
        <w:rPr>
          <w:lang w:val="ca-ES"/>
        </w:rPr>
      </w:pPr>
      <w:r>
        <w:rPr>
          <w:lang w:val="ca-ES"/>
        </w:rPr>
        <w:t>En el</w:t>
      </w:r>
      <w:r w:rsidR="00C90775" w:rsidRPr="00B8030B">
        <w:rPr>
          <w:lang w:val="ca-ES"/>
        </w:rPr>
        <w:t xml:space="preserve"> que fa referència al </w:t>
      </w:r>
      <w:r w:rsidR="00BF2311">
        <w:rPr>
          <w:u w:val="single"/>
          <w:lang w:val="ca-ES"/>
        </w:rPr>
        <w:t>C</w:t>
      </w:r>
      <w:r w:rsidR="00C90775" w:rsidRPr="00C853BC">
        <w:rPr>
          <w:u w:val="single"/>
          <w:lang w:val="ca-ES"/>
        </w:rPr>
        <w:t>apítol 5</w:t>
      </w:r>
      <w:r w:rsidR="00C90775" w:rsidRPr="00B8030B">
        <w:rPr>
          <w:lang w:val="ca-ES"/>
        </w:rPr>
        <w:t xml:space="preserve"> d’ingressos, i a partir de les expectatives que constatem al mercat, fem una previsió de lloguers d’espais de 15.000€, al mateix nivell que la previsió feta l’exercici anterior. Per la part de Graner, la previsió d’ingressos per lloguers d’espais la mantenim als 12.000€, donat que aquests darrers anys és la xifra que s’ha anat recaptant per aquest concepte.</w:t>
      </w:r>
    </w:p>
    <w:p w14:paraId="5D9479DE" w14:textId="79B5953E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Per altra banda, la previsió d’ingressos per patrocinis els fixe</w:t>
      </w:r>
      <w:r w:rsidR="00B8030B" w:rsidRPr="00B8030B">
        <w:rPr>
          <w:lang w:val="ca-ES"/>
        </w:rPr>
        <w:t>m</w:t>
      </w:r>
      <w:r w:rsidRPr="00B8030B">
        <w:rPr>
          <w:lang w:val="ca-ES"/>
        </w:rPr>
        <w:t xml:space="preserve"> en 40.000€, que serien principalment aportacions en </w:t>
      </w:r>
      <w:proofErr w:type="spellStart"/>
      <w:r w:rsidRPr="00B8030B">
        <w:rPr>
          <w:lang w:val="ca-ES"/>
        </w:rPr>
        <w:t>cash</w:t>
      </w:r>
      <w:proofErr w:type="spellEnd"/>
      <w:r w:rsidRPr="00B8030B">
        <w:rPr>
          <w:lang w:val="ca-ES"/>
        </w:rPr>
        <w:t xml:space="preserve"> ja pactades per valor de 20.000€, i la resta operacions d’intercanvi de publicitat amb mitjans de comunicació, principalment de premsa digital i escrita.</w:t>
      </w:r>
    </w:p>
    <w:p w14:paraId="15ADFAF2" w14:textId="4E80E437" w:rsidR="00B8030B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La suma de conceptes a la previsió d’ingressos per capítol 5 es manté invariable entre els dos exercicis comparats.</w:t>
      </w:r>
    </w:p>
    <w:p w14:paraId="222F8384" w14:textId="57C9A853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lastRenderedPageBreak/>
        <w:t xml:space="preserve">I en darrer apartat, es fa constar l’aportació </w:t>
      </w:r>
      <w:r w:rsidR="00BF2311">
        <w:rPr>
          <w:lang w:val="ca-ES"/>
        </w:rPr>
        <w:t xml:space="preserve">de </w:t>
      </w:r>
      <w:r w:rsidR="00BF2311">
        <w:rPr>
          <w:u w:val="single"/>
          <w:lang w:val="ca-ES"/>
        </w:rPr>
        <w:t>C</w:t>
      </w:r>
      <w:r w:rsidR="00BF2311" w:rsidRPr="00BF2311">
        <w:rPr>
          <w:u w:val="single"/>
          <w:lang w:val="ca-ES"/>
        </w:rPr>
        <w:t>apítol 7</w:t>
      </w:r>
      <w:r w:rsidR="00BF2311">
        <w:rPr>
          <w:lang w:val="ca-ES"/>
        </w:rPr>
        <w:t xml:space="preserve"> </w:t>
      </w:r>
      <w:r w:rsidRPr="00B8030B">
        <w:rPr>
          <w:lang w:val="ca-ES"/>
        </w:rPr>
        <w:t>per a inversions</w:t>
      </w:r>
      <w:r w:rsidR="00BF2311">
        <w:rPr>
          <w:lang w:val="ca-ES"/>
        </w:rPr>
        <w:t xml:space="preserve">, </w:t>
      </w:r>
      <w:r w:rsidRPr="00B8030B">
        <w:rPr>
          <w:lang w:val="ca-ES"/>
        </w:rPr>
        <w:t xml:space="preserve">la Generalitat de Catalunya ha aprovat mitjançant conveni pluriennal </w:t>
      </w:r>
      <w:r w:rsidR="00BF2311">
        <w:rPr>
          <w:lang w:val="ca-ES"/>
        </w:rPr>
        <w:t>e</w:t>
      </w:r>
      <w:r w:rsidRPr="00B8030B">
        <w:rPr>
          <w:lang w:val="ca-ES"/>
        </w:rPr>
        <w:t>l finançament de les obres de remodelació del Mercat de les Flors, que a l’exercici 202</w:t>
      </w:r>
      <w:r w:rsidR="00082058">
        <w:rPr>
          <w:lang w:val="ca-ES"/>
        </w:rPr>
        <w:t>6</w:t>
      </w:r>
      <w:r w:rsidRPr="00B8030B">
        <w:rPr>
          <w:lang w:val="ca-ES"/>
        </w:rPr>
        <w:t xml:space="preserve"> es quantifica en </w:t>
      </w:r>
      <w:r w:rsidR="00082058">
        <w:rPr>
          <w:lang w:val="ca-ES"/>
        </w:rPr>
        <w:t>1.049.845,00</w:t>
      </w:r>
      <w:r w:rsidRPr="00B8030B">
        <w:rPr>
          <w:lang w:val="ca-ES"/>
        </w:rPr>
        <w:t xml:space="preserve">€. </w:t>
      </w:r>
    </w:p>
    <w:p w14:paraId="592F4C94" w14:textId="695B75C0" w:rsidR="00BF2311" w:rsidRDefault="00C90775" w:rsidP="00B51C85">
      <w:pPr>
        <w:spacing w:after="120"/>
        <w:jc w:val="both"/>
        <w:rPr>
          <w:lang w:val="ca-ES"/>
        </w:rPr>
      </w:pPr>
      <w:r w:rsidRPr="00B8030B">
        <w:rPr>
          <w:lang w:val="ca-ES"/>
        </w:rPr>
        <w:t>L’aportació a 202</w:t>
      </w:r>
      <w:r w:rsidR="00082058">
        <w:rPr>
          <w:lang w:val="ca-ES"/>
        </w:rPr>
        <w:t>6</w:t>
      </w:r>
      <w:r w:rsidRPr="00B8030B">
        <w:rPr>
          <w:lang w:val="ca-ES"/>
        </w:rPr>
        <w:t xml:space="preserve"> de la part de finançament d’obres que li correspon a l’Ajuntament de Barcelona es tramita mitjançant PIM (Pla d’Inversions Municipal), i no es vehicula a través del pressupost del Consorci</w:t>
      </w:r>
    </w:p>
    <w:p w14:paraId="360DED57" w14:textId="77777777" w:rsidR="00B51C85" w:rsidRDefault="00B51C85" w:rsidP="00B51C85">
      <w:pPr>
        <w:spacing w:after="120"/>
        <w:jc w:val="both"/>
        <w:rPr>
          <w:lang w:val="ca-ES"/>
        </w:rPr>
      </w:pPr>
    </w:p>
    <w:p w14:paraId="3DCBC2E7" w14:textId="77777777" w:rsidR="00C90775" w:rsidRPr="00B8030B" w:rsidRDefault="00C90775" w:rsidP="00B8030B">
      <w:pPr>
        <w:spacing w:after="120"/>
        <w:jc w:val="both"/>
        <w:rPr>
          <w:b/>
          <w:bCs/>
          <w:lang w:val="ca-ES"/>
        </w:rPr>
      </w:pPr>
      <w:r w:rsidRPr="00B8030B">
        <w:rPr>
          <w:b/>
          <w:bCs/>
          <w:lang w:val="ca-ES"/>
        </w:rPr>
        <w:t>Variacions del pressupost d’ingressos ordinaris entre exercicis</w:t>
      </w:r>
    </w:p>
    <w:p w14:paraId="4D00E1CC" w14:textId="77777777" w:rsidR="00C90775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El següent és el quadre compartiu en la variació de la configuració dels ingressos entre exercicis.</w:t>
      </w:r>
    </w:p>
    <w:p w14:paraId="75C9E9DA" w14:textId="77777777" w:rsidR="00C247AE" w:rsidRDefault="00C247AE" w:rsidP="00B8030B">
      <w:pPr>
        <w:spacing w:after="120"/>
        <w:jc w:val="both"/>
        <w:rPr>
          <w:lang w:val="ca-ES"/>
        </w:rPr>
      </w:pP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451"/>
        <w:gridCol w:w="1240"/>
        <w:gridCol w:w="1040"/>
        <w:gridCol w:w="1240"/>
        <w:gridCol w:w="1040"/>
      </w:tblGrid>
      <w:tr w:rsidR="005C1E31" w:rsidRPr="005C1E31" w14:paraId="1C948447" w14:textId="77777777" w:rsidTr="005C1E31">
        <w:trPr>
          <w:trHeight w:val="312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6427F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INGRESSOS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1E292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DCC1C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C3C8C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B6954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C1E31" w:rsidRPr="005C1E31" w14:paraId="0FF04007" w14:textId="77777777" w:rsidTr="005C1E31">
        <w:trPr>
          <w:trHeight w:val="480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A34A39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Econ.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63298C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Concepte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DCC95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Pressupost</w:t>
            </w:r>
            <w:proofErr w:type="spellEnd"/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2026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DE393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49DBD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Pressupost</w:t>
            </w:r>
            <w:proofErr w:type="spellEnd"/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2025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641115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%</w:t>
            </w:r>
          </w:p>
        </w:tc>
      </w:tr>
      <w:tr w:rsidR="005C1E31" w:rsidRPr="005C1E31" w14:paraId="4158282E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D50784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E048F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19EDD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877FA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F76AF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8C848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C1E31" w:rsidRPr="005C1E31" w14:paraId="5ADCFE13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0A50A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34400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C3FF77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Venda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d'entrades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d'espectacle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2C3D17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420.000,00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30726D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A2759E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420.000,00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872D2E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39A6CCA3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0BF9DD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39901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7D80C1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Altres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ingressos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Mercat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C1547C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202.000,00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D31A39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A1DC3D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222.000,00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8B00B4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52EB4503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055B7C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39902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938ED2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Altres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ingressos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Graner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DAE1EA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197666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DFD6DB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428B6A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7EF2A5C9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6C36653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13936A6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SUBTOTAL CAPÍTOL 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AF2567E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626.000,00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DED17F5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9,10%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BBCF954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646.000,00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BB5F7DD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8,35%</w:t>
            </w:r>
          </w:p>
        </w:tc>
      </w:tr>
      <w:tr w:rsidR="005C1E31" w:rsidRPr="005C1E31" w14:paraId="283982B8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EFB51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C3076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F722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B4AC24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CC449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2EAE1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C1E31" w:rsidRPr="005C1E31" w14:paraId="588801DC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58A389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42001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869EAF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Administració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General de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l'Estat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823FDE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300.000,00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D90C8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C1828A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500.000,00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B99B4F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0E25FA8C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BC3ECB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44000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C1E4D5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Altres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administracions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74BF95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E688E1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1DD9BC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540.000,00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36CB66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4A669BE5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09955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45001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B210B4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Generalitat de Catalunya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379FC8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1.725.000,00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F9A60F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643E3B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2.445.000,00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B41A6D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2F876EB4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7777EE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45001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40DA33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Generalitat de Catalunya (gires)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FFB038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150.000,00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181815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6098E6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180.000,00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D67D08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7AC4FF8A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AEBE36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46201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C4211E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Ajuntament Barcelona (ICUB/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Àrea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374D58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2.583.304,64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9F13D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C81384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2.445.268,20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A179A9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0959DB36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8C4558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46202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4D36AF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Ajuntament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Graner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3798D6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351.962,75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EF2B9A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686EF6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305.450,00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75C029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356D859C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3B52D3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46203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E548F0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Ajuntament de Mataró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2BE254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1.700,00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965A67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16E980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1.700,00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08A34D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4C5FE73B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AB73D5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48001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879B21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IMEB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571848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11.620,00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4B4D16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D9110B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11.620,00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6FBADA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295CE335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369874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48001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8361B2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Entitats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sense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ànim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de lucre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47D56A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14.702,75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D2FEA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7F2608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15.000,00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E2B595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1AFD9307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B852611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E1254C2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SUBTOTAL CAPÍTOL 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04A769C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5.138.290,14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3B51A4F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74,67%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5BF2828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6.444.038,20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174701A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83,34%</w:t>
            </w:r>
          </w:p>
        </w:tc>
      </w:tr>
      <w:tr w:rsidR="005C1E31" w:rsidRPr="005C1E31" w14:paraId="77C709B6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E3782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4200A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DE0BF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3D34E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E41F6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95400E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C1E31" w:rsidRPr="005C1E31" w14:paraId="4DD0FA24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CC86E7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54901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600218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Lloguers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Mercat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3D12B5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15.000,00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03883D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8E67DF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15.000,00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33BC71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0E1F92DD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190EAB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54902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549CED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Lloguers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Graner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14EBAB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12.000,00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A1C21B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A06E7D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12.000,00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BB726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3E4152CC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51CE6C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59902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68F089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Patrocinis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E06F70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201A51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9E6E38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F7172F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7112B1BD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B122516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225BA0C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SUBTOTAL CAPÍTOL 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C5F3E57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67.000,00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CE78399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0,97%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8B03EF3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67.000,00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C6BDD3A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0,87%</w:t>
            </w:r>
          </w:p>
        </w:tc>
      </w:tr>
      <w:tr w:rsidR="005C1E31" w:rsidRPr="005C1E31" w14:paraId="756EA28B" w14:textId="77777777" w:rsidTr="005C1E31">
        <w:trPr>
          <w:trHeight w:val="150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99E49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7A55D3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3B4A81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A6224F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7F1CD3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818240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C1E31" w:rsidRPr="005C1E31" w14:paraId="5ABE0C70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B5811C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75080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26E87C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Transferència</w:t>
            </w:r>
            <w:proofErr w:type="spellEnd"/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capital Generalitat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B1CAAB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1.049.845,00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B8D1FF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5CEF3E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575.000,00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52DB9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5C1E31" w:rsidRPr="005C1E31" w14:paraId="0FA2C6EC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7EFF875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color w:val="000000"/>
                <w:lang w:val="es-ES" w:eastAsia="es-ES"/>
              </w:rPr>
            </w:pPr>
            <w:r w:rsidRPr="005C1E31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C1B7D30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SUBTOTAL CAPÍTOL 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59E8EBA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1.049.845,00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ED64BD0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15,26%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E274707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575.000,00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3DC9091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7,44%</w:t>
            </w:r>
          </w:p>
        </w:tc>
      </w:tr>
      <w:tr w:rsidR="005C1E31" w:rsidRPr="005C1E31" w14:paraId="08E3865A" w14:textId="77777777" w:rsidTr="005C1E31">
        <w:trPr>
          <w:trHeight w:val="288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B600B5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4609B4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F123C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9B6B73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760AF1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8EBC89" w14:textId="77777777" w:rsidR="005C1E31" w:rsidRPr="005C1E31" w:rsidRDefault="005C1E31" w:rsidP="005C1E3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C1E31" w:rsidRPr="005C1E31" w14:paraId="1AB06B8C" w14:textId="77777777" w:rsidTr="005C1E31">
        <w:trPr>
          <w:trHeight w:val="288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A5CF1D" w14:textId="77777777" w:rsidR="005C1E31" w:rsidRPr="005C1E31" w:rsidRDefault="005C1E31" w:rsidP="005C1E3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TOTAL</w:t>
            </w:r>
            <w:proofErr w:type="gramEnd"/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PRESS. INGRESSOS ORDINARIS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0749A7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6.881.135,14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A15567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100,00%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55F9B5" w14:textId="77777777" w:rsidR="005C1E31" w:rsidRPr="005C1E31" w:rsidRDefault="005C1E31" w:rsidP="005C1E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7.732.038,20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594B74" w14:textId="77777777" w:rsidR="005C1E31" w:rsidRPr="005C1E31" w:rsidRDefault="005C1E31" w:rsidP="005C1E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C1E31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100,00%</w:t>
            </w:r>
          </w:p>
        </w:tc>
      </w:tr>
    </w:tbl>
    <w:p w14:paraId="69FC2954" w14:textId="77777777" w:rsidR="005C1E31" w:rsidRDefault="005C1E31" w:rsidP="00B8030B">
      <w:pPr>
        <w:widowControl/>
        <w:autoSpaceDE/>
        <w:autoSpaceDN/>
        <w:spacing w:after="120"/>
        <w:jc w:val="both"/>
        <w:rPr>
          <w:lang w:val="ca-ES"/>
        </w:rPr>
      </w:pPr>
    </w:p>
    <w:p w14:paraId="1C2E4203" w14:textId="44E4B59E" w:rsidR="00231AD1" w:rsidRDefault="00C90775" w:rsidP="00B8030B">
      <w:pPr>
        <w:widowControl/>
        <w:autoSpaceDE/>
        <w:autoSpaceDN/>
        <w:spacing w:after="120"/>
        <w:jc w:val="both"/>
        <w:rPr>
          <w:lang w:val="ca-ES"/>
        </w:rPr>
      </w:pPr>
      <w:r w:rsidRPr="00B8030B">
        <w:rPr>
          <w:lang w:val="ca-ES"/>
        </w:rPr>
        <w:lastRenderedPageBreak/>
        <w:t>En total global, el pressupost inicial de 202</w:t>
      </w:r>
      <w:r w:rsidR="00082058">
        <w:rPr>
          <w:lang w:val="ca-ES"/>
        </w:rPr>
        <w:t>6</w:t>
      </w:r>
      <w:r w:rsidRPr="00B8030B">
        <w:rPr>
          <w:lang w:val="ca-ES"/>
        </w:rPr>
        <w:t xml:space="preserve"> del Consorci Mercat de les Flors és de </w:t>
      </w:r>
      <w:r w:rsidR="00082058" w:rsidRPr="009E0390">
        <w:rPr>
          <w:color w:val="3A7C22" w:themeColor="accent6" w:themeShade="BF"/>
          <w:lang w:val="ca-ES"/>
        </w:rPr>
        <w:t>6.8</w:t>
      </w:r>
      <w:r w:rsidR="009E0390" w:rsidRPr="009E0390">
        <w:rPr>
          <w:color w:val="3A7C22" w:themeColor="accent6" w:themeShade="BF"/>
          <w:lang w:val="ca-ES"/>
        </w:rPr>
        <w:t>8</w:t>
      </w:r>
      <w:r w:rsidR="002E2CEC">
        <w:rPr>
          <w:color w:val="3A7C22" w:themeColor="accent6" w:themeShade="BF"/>
          <w:lang w:val="ca-ES"/>
        </w:rPr>
        <w:t>1.135</w:t>
      </w:r>
      <w:r w:rsidR="009E0390" w:rsidRPr="009E0390">
        <w:rPr>
          <w:color w:val="3A7C22" w:themeColor="accent6" w:themeShade="BF"/>
          <w:lang w:val="ca-ES"/>
        </w:rPr>
        <w:t>,14</w:t>
      </w:r>
      <w:r w:rsidRPr="009E0390">
        <w:rPr>
          <w:color w:val="3A7C22" w:themeColor="accent6" w:themeShade="BF"/>
          <w:lang w:val="ca-ES"/>
        </w:rPr>
        <w:t>€</w:t>
      </w:r>
      <w:r w:rsidRPr="00B8030B">
        <w:rPr>
          <w:lang w:val="ca-ES"/>
        </w:rPr>
        <w:t xml:space="preserve">, la qual cosa significa un </w:t>
      </w:r>
      <w:r w:rsidR="00082058">
        <w:rPr>
          <w:lang w:val="ca-ES"/>
        </w:rPr>
        <w:t>decrement</w:t>
      </w:r>
      <w:r w:rsidRPr="00B8030B">
        <w:rPr>
          <w:lang w:val="ca-ES"/>
        </w:rPr>
        <w:t xml:space="preserve"> en relació al pressupost inicial de 202</w:t>
      </w:r>
      <w:r w:rsidR="00082058">
        <w:rPr>
          <w:lang w:val="ca-ES"/>
        </w:rPr>
        <w:t>5</w:t>
      </w:r>
      <w:r w:rsidRPr="00B8030B">
        <w:rPr>
          <w:lang w:val="ca-ES"/>
        </w:rPr>
        <w:t xml:space="preserve"> del </w:t>
      </w:r>
      <w:r w:rsidR="002E2CEC">
        <w:rPr>
          <w:color w:val="3A7C22" w:themeColor="accent6" w:themeShade="BF"/>
          <w:lang w:val="ca-ES"/>
        </w:rPr>
        <w:t>11,00</w:t>
      </w:r>
      <w:r w:rsidRPr="009E0390">
        <w:rPr>
          <w:color w:val="3A7C22" w:themeColor="accent6" w:themeShade="BF"/>
          <w:lang w:val="ca-ES"/>
        </w:rPr>
        <w:t>%.</w:t>
      </w:r>
      <w:r w:rsidR="00082058">
        <w:rPr>
          <w:lang w:val="ca-ES"/>
        </w:rPr>
        <w:t xml:space="preserve"> </w:t>
      </w:r>
    </w:p>
    <w:p w14:paraId="06F57979" w14:textId="7599D456" w:rsidR="00C90775" w:rsidRPr="00C820FF" w:rsidRDefault="00082058" w:rsidP="00B8030B">
      <w:pPr>
        <w:widowControl/>
        <w:autoSpaceDE/>
        <w:autoSpaceDN/>
        <w:spacing w:after="120"/>
        <w:jc w:val="both"/>
        <w:rPr>
          <w:color w:val="3A7C22" w:themeColor="accent6" w:themeShade="BF"/>
          <w:lang w:val="ca-ES"/>
        </w:rPr>
      </w:pPr>
      <w:r>
        <w:rPr>
          <w:lang w:val="ca-ES"/>
        </w:rPr>
        <w:t xml:space="preserve">Aquesta davallada és especialment significativa en els capítols </w:t>
      </w:r>
      <w:r w:rsidR="00231AD1">
        <w:rPr>
          <w:lang w:val="ca-ES"/>
        </w:rPr>
        <w:t xml:space="preserve">del pressupost </w:t>
      </w:r>
      <w:r>
        <w:rPr>
          <w:lang w:val="ca-ES"/>
        </w:rPr>
        <w:t>corrent</w:t>
      </w:r>
      <w:r w:rsidR="00231AD1">
        <w:rPr>
          <w:lang w:val="ca-ES"/>
        </w:rPr>
        <w:t xml:space="preserve"> (1 a 5)</w:t>
      </w:r>
      <w:r>
        <w:rPr>
          <w:lang w:val="ca-ES"/>
        </w:rPr>
        <w:t xml:space="preserve">, que </w:t>
      </w:r>
      <w:r w:rsidR="00231AD1">
        <w:rPr>
          <w:lang w:val="ca-ES"/>
        </w:rPr>
        <w:t xml:space="preserve">per a 2026 arriben a la xifra de </w:t>
      </w:r>
      <w:r w:rsidR="002E2CEC">
        <w:rPr>
          <w:color w:val="3A7C22" w:themeColor="accent6" w:themeShade="BF"/>
          <w:lang w:val="ca-ES"/>
        </w:rPr>
        <w:t>5.831.290,14</w:t>
      </w:r>
      <w:r w:rsidR="00231AD1" w:rsidRPr="009E0390">
        <w:rPr>
          <w:color w:val="3A7C22" w:themeColor="accent6" w:themeShade="BF"/>
          <w:lang w:val="ca-ES"/>
        </w:rPr>
        <w:t>€</w:t>
      </w:r>
      <w:r w:rsidR="00231AD1">
        <w:rPr>
          <w:lang w:val="ca-ES"/>
        </w:rPr>
        <w:t xml:space="preserve">, quan a 2025 van ser de 7.157.038,20€, la qual cosa significa una caiguda del </w:t>
      </w:r>
      <w:r w:rsidR="00231AD1" w:rsidRPr="00C820FF">
        <w:rPr>
          <w:color w:val="3A7C22" w:themeColor="accent6" w:themeShade="BF"/>
          <w:lang w:val="ca-ES"/>
        </w:rPr>
        <w:t>18,</w:t>
      </w:r>
      <w:r w:rsidR="002E2CEC">
        <w:rPr>
          <w:color w:val="3A7C22" w:themeColor="accent6" w:themeShade="BF"/>
          <w:lang w:val="ca-ES"/>
        </w:rPr>
        <w:t>52</w:t>
      </w:r>
      <w:r w:rsidR="00231AD1" w:rsidRPr="00C820FF">
        <w:rPr>
          <w:color w:val="3A7C22" w:themeColor="accent6" w:themeShade="BF"/>
          <w:lang w:val="ca-ES"/>
        </w:rPr>
        <w:t>%</w:t>
      </w:r>
    </w:p>
    <w:p w14:paraId="16BA27F3" w14:textId="77777777" w:rsidR="00B51C85" w:rsidRDefault="00B51C85" w:rsidP="00B8030B">
      <w:pPr>
        <w:widowControl/>
        <w:autoSpaceDE/>
        <w:autoSpaceDN/>
        <w:spacing w:after="120"/>
        <w:jc w:val="both"/>
        <w:rPr>
          <w:lang w:val="ca-ES"/>
        </w:rPr>
      </w:pPr>
    </w:p>
    <w:p w14:paraId="148845D3" w14:textId="77777777" w:rsidR="00B51C85" w:rsidRPr="00B8030B" w:rsidRDefault="00B51C85" w:rsidP="00B8030B">
      <w:pPr>
        <w:widowControl/>
        <w:autoSpaceDE/>
        <w:autoSpaceDN/>
        <w:spacing w:after="120"/>
        <w:jc w:val="both"/>
        <w:rPr>
          <w:lang w:val="ca-ES"/>
        </w:rPr>
      </w:pPr>
    </w:p>
    <w:p w14:paraId="441121D9" w14:textId="613D4400" w:rsidR="00C90775" w:rsidRPr="00C853BC" w:rsidRDefault="00C90775" w:rsidP="00C853BC">
      <w:pPr>
        <w:spacing w:before="99"/>
        <w:rPr>
          <w:rFonts w:ascii="Garamond"/>
          <w:b/>
          <w:color w:val="C00000"/>
          <w:sz w:val="26"/>
          <w:lang w:val="ca-ES"/>
        </w:rPr>
      </w:pPr>
      <w:r w:rsidRPr="00C853BC">
        <w:rPr>
          <w:rFonts w:ascii="Garamond"/>
          <w:b/>
          <w:color w:val="C00000"/>
          <w:sz w:val="26"/>
          <w:lang w:val="ca-ES"/>
        </w:rPr>
        <w:t>DESPESES</w:t>
      </w:r>
    </w:p>
    <w:p w14:paraId="4EC11B33" w14:textId="77777777" w:rsidR="00C853BC" w:rsidRDefault="00C853BC" w:rsidP="00B8030B">
      <w:pPr>
        <w:spacing w:after="120"/>
        <w:jc w:val="both"/>
        <w:rPr>
          <w:lang w:val="ca-ES"/>
        </w:rPr>
      </w:pPr>
    </w:p>
    <w:p w14:paraId="604C52C1" w14:textId="2B2BEA1D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Les modificacions d’imports i conceptes finançats a la part d’ingressos, comporten una </w:t>
      </w:r>
      <w:proofErr w:type="spellStart"/>
      <w:r w:rsidRPr="00B8030B">
        <w:rPr>
          <w:lang w:val="ca-ES"/>
        </w:rPr>
        <w:t>redefinició</w:t>
      </w:r>
      <w:proofErr w:type="spellEnd"/>
      <w:r w:rsidRPr="00B8030B">
        <w:rPr>
          <w:lang w:val="ca-ES"/>
        </w:rPr>
        <w:t xml:space="preserve"> dels capítols de despesa, segons es mostra en el quadre següent</w:t>
      </w:r>
    </w:p>
    <w:p w14:paraId="6B0F968B" w14:textId="77777777" w:rsidR="00C90775" w:rsidRDefault="00C90775" w:rsidP="00B8030B">
      <w:pPr>
        <w:spacing w:after="120"/>
        <w:jc w:val="both"/>
        <w:rPr>
          <w:lang w:val="ca-ES"/>
        </w:rPr>
      </w:pPr>
    </w:p>
    <w:tbl>
      <w:tblPr>
        <w:tblW w:w="8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2200"/>
        <w:gridCol w:w="1480"/>
        <w:gridCol w:w="845"/>
        <w:gridCol w:w="1480"/>
        <w:gridCol w:w="845"/>
        <w:gridCol w:w="1120"/>
      </w:tblGrid>
      <w:tr w:rsidR="00C820FF" w:rsidRPr="00C820FF" w14:paraId="599E36E5" w14:textId="77777777" w:rsidTr="00C820FF">
        <w:trPr>
          <w:trHeight w:val="765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5F8979FC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Capítol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3819A186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Concepte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4A565783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Pressupost     2026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6D682184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4EDAB87E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Pressupost     2025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37E49736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%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89B980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Variació entre exercicis</w:t>
            </w:r>
          </w:p>
        </w:tc>
      </w:tr>
      <w:tr w:rsidR="00C820FF" w:rsidRPr="00C820FF" w14:paraId="089F1C23" w14:textId="77777777" w:rsidTr="00C820FF">
        <w:trPr>
          <w:trHeight w:val="300"/>
          <w:jc w:val="center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ACCF67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9D5E95" w14:textId="77777777" w:rsidR="00C820FF" w:rsidRPr="00C820FF" w:rsidRDefault="00C820FF" w:rsidP="00C820FF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Personal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4274DD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2.586.500,00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8A0A24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37,59%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B3E855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2.711.565,56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E4FC3E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35,07%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AD97A2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-4,61%</w:t>
            </w:r>
          </w:p>
        </w:tc>
      </w:tr>
      <w:tr w:rsidR="00C820FF" w:rsidRPr="00C820FF" w14:paraId="230E1534" w14:textId="77777777" w:rsidTr="00C820FF">
        <w:trPr>
          <w:trHeight w:val="300"/>
          <w:jc w:val="center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072EF9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A1F281" w14:textId="77777777" w:rsidR="00C820FF" w:rsidRPr="00C820FF" w:rsidRDefault="00C820FF" w:rsidP="00C820FF">
            <w:pPr>
              <w:widowControl/>
              <w:autoSpaceDE/>
              <w:autoSpaceDN/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  <w:t>Despesa ordinària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E115DC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  <w:t>3.148.111,41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1047FA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  <w:t>45,75%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A61E5C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  <w:t>4.323.972,64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E76F6A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  <w:t>55,92%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A9EDA1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20"/>
                <w:szCs w:val="20"/>
                <w:lang w:val="ca-ES" w:eastAsia="ca-ES"/>
              </w:rPr>
              <w:t>-27,19%</w:t>
            </w:r>
          </w:p>
        </w:tc>
      </w:tr>
      <w:tr w:rsidR="00C820FF" w:rsidRPr="00C820FF" w14:paraId="33B8DF56" w14:textId="77777777" w:rsidTr="00C820FF">
        <w:trPr>
          <w:trHeight w:val="300"/>
          <w:jc w:val="center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502BF4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B31519" w14:textId="77777777" w:rsidR="00C820FF" w:rsidRPr="00C820FF" w:rsidRDefault="00C820FF" w:rsidP="00C820FF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Despeses financeres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3D1176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7.978,74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D3AA3F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0,12%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36E637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10.000,00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2A8FB9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0,13%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D8581C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-20,21%</w:t>
            </w:r>
          </w:p>
        </w:tc>
      </w:tr>
      <w:tr w:rsidR="00C820FF" w:rsidRPr="00C820FF" w14:paraId="19022AC5" w14:textId="77777777" w:rsidTr="00C820FF">
        <w:trPr>
          <w:trHeight w:val="300"/>
          <w:jc w:val="center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5CA811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A870C0" w14:textId="77777777" w:rsidR="00C820FF" w:rsidRPr="00C820FF" w:rsidRDefault="00C820FF" w:rsidP="00C820FF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Transferències corrents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FA4C5E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38.699,99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508B16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0,56%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F4BC22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61.500,00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E248D4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0,80%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10DD2E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-37,07%</w:t>
            </w:r>
          </w:p>
        </w:tc>
      </w:tr>
      <w:tr w:rsidR="00C820FF" w:rsidRPr="00C820FF" w14:paraId="2D6C1141" w14:textId="77777777" w:rsidTr="00C820FF">
        <w:trPr>
          <w:trHeight w:val="300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2F811E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8FC31" w14:textId="77777777" w:rsidR="00C820FF" w:rsidRPr="00C820FF" w:rsidRDefault="00C820FF" w:rsidP="00C820FF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Inversions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6FC8A8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1.099.845,00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71B23D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15,98%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CFCCDD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625.000,00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F31A1E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8,08%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3DD6F4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75,98%</w:t>
            </w:r>
          </w:p>
        </w:tc>
      </w:tr>
      <w:tr w:rsidR="00C820FF" w:rsidRPr="00C820FF" w14:paraId="066AAED1" w14:textId="77777777" w:rsidTr="00C820FF">
        <w:trPr>
          <w:trHeight w:val="300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25DEB073" w14:textId="77777777" w:rsidR="00C820FF" w:rsidRPr="00C820FF" w:rsidRDefault="00C820FF" w:rsidP="00C820FF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TOTAL PRESSUPOST DESPESES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B23EA57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6.881.135,14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5BE1FF25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100,00%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8060BE1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7.732.038,20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B027D9E" w14:textId="77777777" w:rsidR="00C820FF" w:rsidRPr="00C820FF" w:rsidRDefault="00C820FF" w:rsidP="00C820FF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100,00%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9A1028" w14:textId="77777777" w:rsidR="00C820FF" w:rsidRPr="00C820FF" w:rsidRDefault="00C820FF" w:rsidP="00C820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-11,00%</w:t>
            </w:r>
          </w:p>
        </w:tc>
      </w:tr>
    </w:tbl>
    <w:p w14:paraId="403EB105" w14:textId="77777777" w:rsidR="00C90775" w:rsidRPr="00B8030B" w:rsidRDefault="00C90775" w:rsidP="00B8030B">
      <w:pPr>
        <w:spacing w:after="120"/>
        <w:jc w:val="both"/>
        <w:rPr>
          <w:lang w:val="ca-ES"/>
        </w:rPr>
      </w:pPr>
    </w:p>
    <w:p w14:paraId="4019EB00" w14:textId="473C8677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La previsió de despesa de </w:t>
      </w:r>
      <w:r w:rsidRPr="00C853BC">
        <w:rPr>
          <w:u w:val="single"/>
          <w:lang w:val="ca-ES"/>
        </w:rPr>
        <w:t>capítol 1</w:t>
      </w:r>
      <w:r w:rsidRPr="00B8030B">
        <w:rPr>
          <w:lang w:val="ca-ES"/>
        </w:rPr>
        <w:t xml:space="preserve"> permet dotar tots els llocs d’estructura, incloent complements personals, així com contractacions de tècnics especialistes per projectes temporals que ho requereixen. L’import establert permet també preveure l’increment retributiu del 1% que es preveu a la Llei de Pressupostos per a l’exercici 202</w:t>
      </w:r>
      <w:r w:rsidR="003734A6">
        <w:rPr>
          <w:lang w:val="ca-ES"/>
        </w:rPr>
        <w:t>6</w:t>
      </w:r>
      <w:r w:rsidRPr="00B8030B">
        <w:rPr>
          <w:lang w:val="ca-ES"/>
        </w:rPr>
        <w:t xml:space="preserve"> a tot el personal de les administracions públiques.</w:t>
      </w:r>
    </w:p>
    <w:p w14:paraId="3D594534" w14:textId="77FF56D9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S’inclou també en aquest apartat les retribucions que es preveu fer al personal temporal per muntatges i desmuntatges escènics que es gestionen a través d’una borsa de treball pròpia del Consorci.</w:t>
      </w:r>
    </w:p>
    <w:p w14:paraId="3CCFC3DE" w14:textId="77777777" w:rsidR="00C853BC" w:rsidRDefault="00C853BC" w:rsidP="00B8030B">
      <w:pPr>
        <w:spacing w:after="120"/>
        <w:jc w:val="both"/>
        <w:rPr>
          <w:lang w:val="ca-ES"/>
        </w:rPr>
      </w:pPr>
    </w:p>
    <w:p w14:paraId="1EB44C6C" w14:textId="5C2E5EEC" w:rsidR="003734A6" w:rsidRPr="00C820FF" w:rsidRDefault="003734A6" w:rsidP="00B8030B">
      <w:pPr>
        <w:spacing w:after="120"/>
        <w:jc w:val="both"/>
        <w:rPr>
          <w:color w:val="3A7C22" w:themeColor="accent6" w:themeShade="BF"/>
          <w:lang w:val="ca-ES"/>
        </w:rPr>
      </w:pPr>
      <w:r w:rsidRPr="00C820FF">
        <w:rPr>
          <w:color w:val="3A7C22" w:themeColor="accent6" w:themeShade="BF"/>
          <w:lang w:val="ca-ES"/>
        </w:rPr>
        <w:t xml:space="preserve">La davallada d’ingressos que s’explica a l’apartat anterior comporta la necessitat de reduir la previsió de despeses principalment de </w:t>
      </w:r>
      <w:r w:rsidRPr="00C820FF">
        <w:rPr>
          <w:color w:val="3A7C22" w:themeColor="accent6" w:themeShade="BF"/>
          <w:u w:val="single"/>
          <w:lang w:val="ca-ES"/>
        </w:rPr>
        <w:t>capítol 2</w:t>
      </w:r>
      <w:r w:rsidRPr="00C820FF">
        <w:rPr>
          <w:color w:val="3A7C22" w:themeColor="accent6" w:themeShade="BF"/>
          <w:lang w:val="ca-ES"/>
        </w:rPr>
        <w:t>, que comporta un grau manyes de despesa estructural. En aquest sentit el pressupost inicial 2026 preveu una despesa de 3.</w:t>
      </w:r>
      <w:r w:rsidR="00C820FF" w:rsidRPr="00C820FF">
        <w:rPr>
          <w:color w:val="3A7C22" w:themeColor="accent6" w:themeShade="BF"/>
          <w:lang w:val="ca-ES"/>
        </w:rPr>
        <w:t>148.111,41</w:t>
      </w:r>
      <w:r w:rsidRPr="00C820FF">
        <w:rPr>
          <w:color w:val="3A7C22" w:themeColor="accent6" w:themeShade="BF"/>
          <w:lang w:val="ca-ES"/>
        </w:rPr>
        <w:t xml:space="preserve">€, enfront de la previsió inicial de 2025 que pujava a 4.323.972,64€, la qual cosa significa una caiguda del </w:t>
      </w:r>
      <w:r w:rsidR="00C820FF" w:rsidRPr="00C820FF">
        <w:rPr>
          <w:color w:val="3A7C22" w:themeColor="accent6" w:themeShade="BF"/>
          <w:lang w:val="ca-ES"/>
        </w:rPr>
        <w:t>-27,19%</w:t>
      </w:r>
    </w:p>
    <w:p w14:paraId="68259EE3" w14:textId="77777777" w:rsidR="00C853BC" w:rsidRPr="00B8030B" w:rsidRDefault="00C853BC" w:rsidP="00B8030B">
      <w:pPr>
        <w:spacing w:after="120"/>
        <w:jc w:val="both"/>
        <w:rPr>
          <w:lang w:val="ca-ES"/>
        </w:rPr>
      </w:pPr>
    </w:p>
    <w:p w14:paraId="5DD7C856" w14:textId="77777777" w:rsidR="00251FB1" w:rsidRDefault="00251FB1" w:rsidP="00B8030B">
      <w:pPr>
        <w:spacing w:after="120"/>
        <w:jc w:val="both"/>
        <w:rPr>
          <w:lang w:val="ca-ES"/>
        </w:rPr>
      </w:pPr>
    </w:p>
    <w:p w14:paraId="0EA428A5" w14:textId="6EF23B3F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El </w:t>
      </w:r>
      <w:r w:rsidRPr="00C853BC">
        <w:rPr>
          <w:u w:val="single"/>
          <w:lang w:val="ca-ES"/>
        </w:rPr>
        <w:t>capítol 3</w:t>
      </w:r>
      <w:r w:rsidRPr="00B8030B">
        <w:rPr>
          <w:lang w:val="ca-ES"/>
        </w:rPr>
        <w:t xml:space="preserve"> inclou conceptes com el pagament d’interessos de demora o la previsió de despeses en comissions bancàries. Aquesta quantitat s’ajusta a </w:t>
      </w:r>
      <w:r w:rsidR="00293567">
        <w:rPr>
          <w:lang w:val="ca-ES"/>
        </w:rPr>
        <w:t>7.978,74</w:t>
      </w:r>
      <w:r w:rsidRPr="00B8030B">
        <w:rPr>
          <w:lang w:val="ca-ES"/>
        </w:rPr>
        <w:t xml:space="preserve">€ anuals, tota vegada que hem comprovat que és la despesa que </w:t>
      </w:r>
      <w:r w:rsidR="00293567">
        <w:rPr>
          <w:lang w:val="ca-ES"/>
        </w:rPr>
        <w:t xml:space="preserve">aproximadament </w:t>
      </w:r>
      <w:r w:rsidRPr="00B8030B">
        <w:rPr>
          <w:lang w:val="ca-ES"/>
        </w:rPr>
        <w:t>podem esperar per aquest concepte.</w:t>
      </w:r>
    </w:p>
    <w:p w14:paraId="52A71AA1" w14:textId="77777777" w:rsidR="00BF2311" w:rsidRPr="00C820FF" w:rsidRDefault="00BF2311" w:rsidP="00B8030B">
      <w:pPr>
        <w:spacing w:after="120"/>
        <w:jc w:val="both"/>
        <w:rPr>
          <w:sz w:val="14"/>
          <w:szCs w:val="14"/>
          <w:lang w:val="ca-ES"/>
        </w:rPr>
      </w:pPr>
    </w:p>
    <w:p w14:paraId="4AB80141" w14:textId="34CC37D6" w:rsidR="00C90775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Les despeses de </w:t>
      </w:r>
      <w:r w:rsidRPr="00BF2311">
        <w:rPr>
          <w:u w:val="single"/>
          <w:lang w:val="ca-ES"/>
        </w:rPr>
        <w:t>capítol 4,</w:t>
      </w:r>
      <w:r w:rsidRPr="00B8030B">
        <w:rPr>
          <w:lang w:val="ca-ES"/>
        </w:rPr>
        <w:t xml:space="preserve"> corresponents a transferències corrents, </w:t>
      </w:r>
      <w:r w:rsidR="00293567">
        <w:rPr>
          <w:lang w:val="ca-ES"/>
        </w:rPr>
        <w:t>es redueixen restant pendents que amb l’aprovació dels pressupostos de les administracions consorciades es pugui incrementar aquest tipus d’activitat</w:t>
      </w:r>
      <w:r w:rsidRPr="00B8030B">
        <w:rPr>
          <w:lang w:val="ca-ES"/>
        </w:rPr>
        <w:t xml:space="preserve">. Aquest capítol inclou també la dotació amb 20.000€ d’un conveni </w:t>
      </w:r>
      <w:r w:rsidR="00293567">
        <w:rPr>
          <w:lang w:val="ca-ES"/>
        </w:rPr>
        <w:t xml:space="preserve">per a la realització de l’activitat “Mapa de ball” </w:t>
      </w:r>
      <w:r w:rsidRPr="00B8030B">
        <w:rPr>
          <w:lang w:val="ca-ES"/>
        </w:rPr>
        <w:t>que per a l’exercici 202</w:t>
      </w:r>
      <w:r w:rsidR="00293567">
        <w:rPr>
          <w:lang w:val="ca-ES"/>
        </w:rPr>
        <w:t>6</w:t>
      </w:r>
      <w:r w:rsidRPr="00B8030B">
        <w:rPr>
          <w:lang w:val="ca-ES"/>
        </w:rPr>
        <w:t xml:space="preserve"> es vehicularà com a subvenció.</w:t>
      </w:r>
    </w:p>
    <w:p w14:paraId="4ED23DC9" w14:textId="3BD96608" w:rsidR="00251FB1" w:rsidRDefault="00251FB1" w:rsidP="00501650">
      <w:pPr>
        <w:spacing w:after="120"/>
        <w:jc w:val="both"/>
        <w:rPr>
          <w:lang w:val="ca-ES"/>
        </w:rPr>
      </w:pPr>
      <w:r>
        <w:rPr>
          <w:lang w:val="ca-ES"/>
        </w:rPr>
        <w:t>Per altra banda, es preveu que des del Graner es realitzi com cada any una convocatòria d’a</w:t>
      </w:r>
      <w:r w:rsidR="00C247AE">
        <w:rPr>
          <w:lang w:val="ca-ES"/>
        </w:rPr>
        <w:t>j</w:t>
      </w:r>
      <w:r>
        <w:rPr>
          <w:lang w:val="ca-ES"/>
        </w:rPr>
        <w:t>uts a la creació que es vehicularà com a premi i que té una previsió de despesa de 13.453,48€</w:t>
      </w:r>
    </w:p>
    <w:p w14:paraId="337156E2" w14:textId="26DA60F7" w:rsidR="00501650" w:rsidRPr="00B8030B" w:rsidRDefault="00251FB1" w:rsidP="00501650">
      <w:pPr>
        <w:spacing w:after="120"/>
        <w:jc w:val="both"/>
        <w:rPr>
          <w:lang w:val="ca-ES"/>
        </w:rPr>
      </w:pPr>
      <w:r>
        <w:rPr>
          <w:lang w:val="ca-ES"/>
        </w:rPr>
        <w:t>I com a darrer bloc de despesa de capítol 4 es</w:t>
      </w:r>
      <w:r w:rsidR="00293567">
        <w:rPr>
          <w:lang w:val="ca-ES"/>
        </w:rPr>
        <w:t xml:space="preserve"> manté </w:t>
      </w:r>
      <w:r w:rsidR="00501650" w:rsidRPr="00501650">
        <w:rPr>
          <w:lang w:val="ca-ES"/>
        </w:rPr>
        <w:t>en la previsió de despesa relativa a convenis en pràctiques,</w:t>
      </w:r>
      <w:r w:rsidR="00501650">
        <w:rPr>
          <w:lang w:val="ca-ES"/>
        </w:rPr>
        <w:t xml:space="preserve"> </w:t>
      </w:r>
      <w:r w:rsidR="00501650" w:rsidRPr="00501650">
        <w:rPr>
          <w:lang w:val="ca-ES"/>
        </w:rPr>
        <w:t xml:space="preserve">donat que durant aquest exercici </w:t>
      </w:r>
      <w:r w:rsidR="00293567">
        <w:rPr>
          <w:lang w:val="ca-ES"/>
        </w:rPr>
        <w:t>seguirem</w:t>
      </w:r>
      <w:r w:rsidR="00501650" w:rsidRPr="00501650">
        <w:rPr>
          <w:lang w:val="ca-ES"/>
        </w:rPr>
        <w:t xml:space="preserve"> en el conveni amb l’Institut del Teatre per a la</w:t>
      </w:r>
      <w:r w:rsidR="00501650">
        <w:rPr>
          <w:lang w:val="ca-ES"/>
        </w:rPr>
        <w:t xml:space="preserve"> </w:t>
      </w:r>
      <w:r w:rsidR="00501650" w:rsidRPr="00501650">
        <w:rPr>
          <w:lang w:val="ca-ES"/>
        </w:rPr>
        <w:t>documentació i digitalització de l’arxiu artístic hostatjat al Mercat que es realitzarà mitjançant</w:t>
      </w:r>
      <w:r w:rsidR="00501650">
        <w:rPr>
          <w:lang w:val="ca-ES"/>
        </w:rPr>
        <w:t xml:space="preserve"> </w:t>
      </w:r>
      <w:r w:rsidR="00501650" w:rsidRPr="00501650">
        <w:rPr>
          <w:lang w:val="ca-ES"/>
        </w:rPr>
        <w:t>estudiants en pràctiques i per al qual preveiem una despesa de 5.</w:t>
      </w:r>
      <w:r w:rsidR="00293567">
        <w:rPr>
          <w:lang w:val="ca-ES"/>
        </w:rPr>
        <w:t>246,51</w:t>
      </w:r>
      <w:r w:rsidR="00501650" w:rsidRPr="00501650">
        <w:rPr>
          <w:lang w:val="ca-ES"/>
        </w:rPr>
        <w:t>€ a 202</w:t>
      </w:r>
      <w:r w:rsidR="00293567">
        <w:rPr>
          <w:lang w:val="ca-ES"/>
        </w:rPr>
        <w:t>6</w:t>
      </w:r>
      <w:r w:rsidR="00501650">
        <w:rPr>
          <w:lang w:val="ca-ES"/>
        </w:rPr>
        <w:t>.</w:t>
      </w:r>
    </w:p>
    <w:p w14:paraId="4DF61657" w14:textId="77777777" w:rsidR="00501650" w:rsidRPr="00C820FF" w:rsidRDefault="00501650" w:rsidP="00B8030B">
      <w:pPr>
        <w:spacing w:after="120"/>
        <w:jc w:val="both"/>
        <w:rPr>
          <w:sz w:val="14"/>
          <w:szCs w:val="14"/>
          <w:lang w:val="ca-ES"/>
        </w:rPr>
      </w:pPr>
    </w:p>
    <w:p w14:paraId="59E71965" w14:textId="596D377A" w:rsidR="00225EFC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El </w:t>
      </w:r>
      <w:r w:rsidRPr="00BF2311">
        <w:rPr>
          <w:u w:val="single"/>
          <w:lang w:val="ca-ES"/>
        </w:rPr>
        <w:t>capítol 6</w:t>
      </w:r>
      <w:r w:rsidRPr="00B8030B">
        <w:rPr>
          <w:lang w:val="ca-ES"/>
        </w:rPr>
        <w:t xml:space="preserve"> recull la dotació per inversions. </w:t>
      </w:r>
      <w:r w:rsidR="00225EFC">
        <w:rPr>
          <w:lang w:val="ca-ES"/>
        </w:rPr>
        <w:t>En aquest apartat hi destinem una partida de 50.000,00€ per compres de bens inventariables.</w:t>
      </w:r>
    </w:p>
    <w:p w14:paraId="1015071D" w14:textId="28879C14" w:rsidR="00C90775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Com ja indiquem a la part d’avaluació dels ingressos, incloem en pressupost inicial la part corresponent a 202</w:t>
      </w:r>
      <w:r w:rsidR="00293567">
        <w:rPr>
          <w:lang w:val="ca-ES"/>
        </w:rPr>
        <w:t>6</w:t>
      </w:r>
      <w:r w:rsidRPr="00B8030B">
        <w:rPr>
          <w:lang w:val="ca-ES"/>
        </w:rPr>
        <w:t xml:space="preserve"> de la subvenció pluriennal concedida per la Generalitat de Catalunya per al finançament de la primera fase del Pla Director d’Obres del Mercat de les Flors (2022-2</w:t>
      </w:r>
      <w:r w:rsidR="00293567">
        <w:rPr>
          <w:lang w:val="ca-ES"/>
        </w:rPr>
        <w:t>6</w:t>
      </w:r>
      <w:r w:rsidRPr="00B8030B">
        <w:rPr>
          <w:lang w:val="ca-ES"/>
        </w:rPr>
        <w:t>)</w:t>
      </w:r>
      <w:r w:rsidR="00501650">
        <w:rPr>
          <w:lang w:val="ca-ES"/>
        </w:rPr>
        <w:t xml:space="preserve"> per un import de </w:t>
      </w:r>
      <w:r w:rsidR="00293567">
        <w:rPr>
          <w:lang w:val="ca-ES"/>
        </w:rPr>
        <w:t>1.049.845</w:t>
      </w:r>
      <w:r w:rsidR="00501650">
        <w:rPr>
          <w:lang w:val="ca-ES"/>
        </w:rPr>
        <w:t>,00€.</w:t>
      </w:r>
    </w:p>
    <w:p w14:paraId="023C3B4A" w14:textId="7D0707C6" w:rsidR="00251FB1" w:rsidRPr="00B8030B" w:rsidRDefault="00251FB1" w:rsidP="00B8030B">
      <w:pPr>
        <w:spacing w:after="120"/>
        <w:jc w:val="both"/>
        <w:rPr>
          <w:lang w:val="ca-ES"/>
        </w:rPr>
      </w:pPr>
      <w:r>
        <w:rPr>
          <w:lang w:val="ca-ES"/>
        </w:rPr>
        <w:t>En aquest apartat no preveiem l’aportació que per inversions a l’edifici del Mercat de les Flors realitza l’Ajuntament de Barcelona, donat que aquesta aportació es finança a través del Pla d’Inversions Municipal (PIM), i en gestionar-se la tramitació de l’obra des de BIMSA, inclosa al grup municipal, la transferència es fa directa via interna, i la comptabilització d’aquestes partides no passa pel Consorci Mercat de les Flors en aquesta fase.</w:t>
      </w:r>
    </w:p>
    <w:p w14:paraId="11BE979D" w14:textId="77777777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L’objectiu i previsió de calendari per a l’execució d’aquestes inversions està detallat a l’apartat 5 del Pressupost “Programa d’Inversions”</w:t>
      </w:r>
    </w:p>
    <w:p w14:paraId="20C144E5" w14:textId="77777777" w:rsidR="00BF2311" w:rsidRPr="00C820FF" w:rsidRDefault="00BF2311" w:rsidP="00B8030B">
      <w:pPr>
        <w:spacing w:after="120"/>
        <w:jc w:val="both"/>
        <w:rPr>
          <w:sz w:val="14"/>
          <w:szCs w:val="14"/>
          <w:lang w:val="ca-ES"/>
        </w:rPr>
      </w:pPr>
    </w:p>
    <w:p w14:paraId="57CB1EBA" w14:textId="618609BC" w:rsidR="00C90775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>Analitzada la despesa destinada a activitat per Orgànics (sense comptar costos de personal, inversions, despeses financeres i el programa Graner), l’evolució del pressupost del Mercat entre els exercicis 202</w:t>
      </w:r>
      <w:r w:rsidR="00293567">
        <w:rPr>
          <w:lang w:val="ca-ES"/>
        </w:rPr>
        <w:t>5</w:t>
      </w:r>
      <w:r w:rsidRPr="00B8030B">
        <w:rPr>
          <w:lang w:val="ca-ES"/>
        </w:rPr>
        <w:t xml:space="preserve"> i 202</w:t>
      </w:r>
      <w:r w:rsidR="00293567">
        <w:rPr>
          <w:lang w:val="ca-ES"/>
        </w:rPr>
        <w:t>6</w:t>
      </w:r>
      <w:r w:rsidRPr="00B8030B">
        <w:rPr>
          <w:lang w:val="ca-ES"/>
        </w:rPr>
        <w:t xml:space="preserve"> és la que es reflecteix al quadre següent:</w:t>
      </w:r>
    </w:p>
    <w:p w14:paraId="6495D067" w14:textId="77777777" w:rsidR="00251FB1" w:rsidRDefault="00251FB1" w:rsidP="00B8030B">
      <w:pPr>
        <w:spacing w:after="120"/>
        <w:jc w:val="both"/>
        <w:rPr>
          <w:lang w:val="ca-ES"/>
        </w:rPr>
      </w:pPr>
    </w:p>
    <w:p w14:paraId="71096998" w14:textId="77777777" w:rsidR="00251FB1" w:rsidRDefault="00251FB1" w:rsidP="00B8030B">
      <w:pPr>
        <w:spacing w:after="120"/>
        <w:jc w:val="both"/>
        <w:rPr>
          <w:lang w:val="ca-ES"/>
        </w:rPr>
      </w:pPr>
    </w:p>
    <w:p w14:paraId="504C9FE1" w14:textId="77777777" w:rsidR="00251FB1" w:rsidRDefault="00251FB1" w:rsidP="00B8030B">
      <w:pPr>
        <w:spacing w:after="120"/>
        <w:jc w:val="both"/>
        <w:rPr>
          <w:lang w:val="ca-ES"/>
        </w:rPr>
      </w:pPr>
    </w:p>
    <w:p w14:paraId="25C3050C" w14:textId="77777777" w:rsidR="00251FB1" w:rsidRDefault="00251FB1" w:rsidP="00B8030B">
      <w:pPr>
        <w:spacing w:after="120"/>
        <w:jc w:val="both"/>
        <w:rPr>
          <w:lang w:val="ca-ES"/>
        </w:rPr>
      </w:pPr>
    </w:p>
    <w:p w14:paraId="35A06B48" w14:textId="77777777" w:rsidR="00C820FF" w:rsidRPr="00B8030B" w:rsidRDefault="00C820FF" w:rsidP="00B8030B">
      <w:pPr>
        <w:spacing w:after="120"/>
        <w:jc w:val="both"/>
        <w:rPr>
          <w:lang w:val="ca-ES"/>
        </w:rPr>
      </w:pPr>
    </w:p>
    <w:tbl>
      <w:tblPr>
        <w:tblW w:w="7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780"/>
        <w:gridCol w:w="220"/>
        <w:gridCol w:w="1380"/>
        <w:gridCol w:w="220"/>
        <w:gridCol w:w="1380"/>
        <w:gridCol w:w="220"/>
        <w:gridCol w:w="1160"/>
      </w:tblGrid>
      <w:tr w:rsidR="00C820FF" w:rsidRPr="00C820FF" w14:paraId="54E5537E" w14:textId="77777777" w:rsidTr="00C820FF">
        <w:trPr>
          <w:trHeight w:val="20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754C8620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  <w:t>Orgànic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13C282E6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  <w:t>Concepte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28245C0A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15EBC51A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  <w:t>Pressupost 2026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10F52547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27A3DC6D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  <w:t>Pressupost 2025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544C0DF3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C000A4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</w:pPr>
            <w:r w:rsidRPr="00C820FF">
              <w:rPr>
                <w:rFonts w:eastAsia="Times New Roman"/>
                <w:b/>
                <w:bCs/>
                <w:color w:val="3A7C22" w:themeColor="accent6" w:themeShade="BF"/>
                <w:sz w:val="20"/>
                <w:szCs w:val="20"/>
                <w:lang w:val="ca-ES" w:eastAsia="ca-ES"/>
              </w:rPr>
              <w:t>Variació entre exercicis</w:t>
            </w:r>
          </w:p>
        </w:tc>
      </w:tr>
      <w:tr w:rsidR="00C820FF" w:rsidRPr="00C820FF" w14:paraId="03395C54" w14:textId="77777777" w:rsidTr="00C820FF">
        <w:trPr>
          <w:trHeight w:val="20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C0E049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6956B8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Programació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30909B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287A41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1.525.925,88 €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E6D17A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FF0233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1.712.490,20 €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041FF0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4A29FB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-10,89%</w:t>
            </w:r>
          </w:p>
        </w:tc>
      </w:tr>
      <w:tr w:rsidR="00C820FF" w:rsidRPr="00C820FF" w14:paraId="47D774ED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97A355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61E327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Activitats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540F88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E4AF5F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175.810,00 €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28969E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2713B4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181.620,00 €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2B8DDF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EE87AB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-3,20%</w:t>
            </w:r>
          </w:p>
        </w:tc>
      </w:tr>
      <w:tr w:rsidR="00C820FF" w:rsidRPr="00C820FF" w14:paraId="7B423A6C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AD7EB7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E30B6C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Circ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39F902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12CC92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3EC6D7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5F2317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140.000,00 €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D1DBEE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EF2A9B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-100,00%</w:t>
            </w:r>
          </w:p>
        </w:tc>
      </w:tr>
      <w:tr w:rsidR="00C820FF" w:rsidRPr="00C820FF" w14:paraId="331D6D54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C83154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19332A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Producció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CCAF52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6EA731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426.694,00 €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10EACD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0C98CF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576.694,00 €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4F0AFA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64E120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-26,01%</w:t>
            </w:r>
          </w:p>
        </w:tc>
      </w:tr>
      <w:tr w:rsidR="00C820FF" w:rsidRPr="00C820FF" w14:paraId="78C9E1B6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F80E27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43B174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Comunicació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FB8D53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698F5B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407.328,00 €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AD669B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462C43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531.828,00 €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1CEC04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9741F3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-23,41%</w:t>
            </w:r>
          </w:p>
        </w:tc>
      </w:tr>
      <w:tr w:rsidR="00C820FF" w:rsidRPr="00C820FF" w14:paraId="74793CDD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E50C88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1EC2B4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Administració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20529F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0E98CC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104.336,00 €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08877A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422418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106.357,26 €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6F7F37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703A4C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-1,90%</w:t>
            </w:r>
          </w:p>
        </w:tc>
      </w:tr>
      <w:tr w:rsidR="00C820FF" w:rsidRPr="00C820FF" w14:paraId="08E8ABC7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20E085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410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524070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Direcció / secretaria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7EAE4E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F1A0DA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57.316,00 €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B4C613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1FC2E8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57.316,00 €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852FB9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84A631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0,00%</w:t>
            </w:r>
          </w:p>
        </w:tc>
      </w:tr>
      <w:tr w:rsidR="00C820FF" w:rsidRPr="00C820FF" w14:paraId="4F2F7BC5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129C13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430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FA7A3E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Manteniment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30613C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0F03ED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488.471,00 €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167FBA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2EDA3D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538.471,00 €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771D92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B6217C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-9,29%</w:t>
            </w:r>
          </w:p>
        </w:tc>
      </w:tr>
      <w:tr w:rsidR="00C820FF" w:rsidRPr="00C820FF" w14:paraId="58E1858F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AC19CB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620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6669CC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Despesa ind. obres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F58410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D82232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34.500,00 €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A49D79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3A0579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104.500,00 €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F0B69D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9AA610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-66,99%</w:t>
            </w:r>
          </w:p>
        </w:tc>
      </w:tr>
      <w:tr w:rsidR="00C820FF" w:rsidRPr="00C820FF" w14:paraId="453C0F06" w14:textId="77777777" w:rsidTr="00C820FF">
        <w:trPr>
          <w:trHeight w:val="57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CD9F4E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710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6563CE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Cèl·lula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B2A1F6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FC492F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9082C9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F65CBE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276.247,80 €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50CB74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99E03B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-100,00%</w:t>
            </w:r>
          </w:p>
        </w:tc>
      </w:tr>
      <w:tr w:rsidR="00C820FF" w:rsidRPr="00C820FF" w14:paraId="3B745D98" w14:textId="77777777" w:rsidTr="00C820FF">
        <w:trPr>
          <w:trHeight w:val="20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193FFC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720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B8621D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 xml:space="preserve">Gires 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98DBE2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3855C6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3F839E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A91373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right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180.000,00 €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5BEE75" w14:textId="77777777" w:rsidR="00C820FF" w:rsidRPr="00C820FF" w:rsidRDefault="00C820FF" w:rsidP="00C820FF">
            <w:pPr>
              <w:widowControl/>
              <w:autoSpaceDE/>
              <w:autoSpaceDN/>
              <w:contextualSpacing/>
              <w:rPr>
                <w:rFonts w:eastAsia="Times New Roman"/>
                <w:color w:val="3A7C22" w:themeColor="accent6" w:themeShade="BF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lang w:val="ca-ES" w:eastAsia="ca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D7C383" w14:textId="77777777" w:rsidR="00C820FF" w:rsidRPr="00C820FF" w:rsidRDefault="00C820FF" w:rsidP="00C820FF">
            <w:pPr>
              <w:widowControl/>
              <w:autoSpaceDE/>
              <w:autoSpaceDN/>
              <w:contextualSpacing/>
              <w:jc w:val="center"/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</w:pPr>
            <w:r w:rsidRPr="00C820FF">
              <w:rPr>
                <w:rFonts w:eastAsia="Times New Roman"/>
                <w:color w:val="3A7C22" w:themeColor="accent6" w:themeShade="BF"/>
                <w:sz w:val="18"/>
                <w:szCs w:val="18"/>
                <w:lang w:val="ca-ES" w:eastAsia="ca-ES"/>
              </w:rPr>
              <w:t>-100,00%</w:t>
            </w:r>
          </w:p>
        </w:tc>
      </w:tr>
    </w:tbl>
    <w:p w14:paraId="76622223" w14:textId="77777777" w:rsidR="00251FB1" w:rsidRDefault="00251FB1" w:rsidP="00B8030B">
      <w:pPr>
        <w:spacing w:after="120"/>
        <w:jc w:val="both"/>
        <w:rPr>
          <w:lang w:val="ca-ES"/>
        </w:rPr>
      </w:pPr>
    </w:p>
    <w:p w14:paraId="1FDAB756" w14:textId="45A56D62" w:rsidR="00C90775" w:rsidRPr="00B8030B" w:rsidRDefault="00C90775" w:rsidP="00B8030B">
      <w:pPr>
        <w:spacing w:after="120"/>
        <w:jc w:val="both"/>
        <w:rPr>
          <w:lang w:val="ca-ES"/>
        </w:rPr>
      </w:pPr>
      <w:r w:rsidRPr="00B8030B">
        <w:rPr>
          <w:lang w:val="ca-ES"/>
        </w:rPr>
        <w:t xml:space="preserve">En aquesta comparativa cal destacar </w:t>
      </w:r>
      <w:r w:rsidR="00B51C85">
        <w:rPr>
          <w:lang w:val="ca-ES"/>
        </w:rPr>
        <w:t>que tots els departaments es veuen afectats per la davallada d’aportacions provinents de les administracions públiques, exceptuant l’orgànic 400 – Administració que sempre ha tingut una dotació excessivament curta per l’àmbit de despesa assignada, principalment de viatges del personal del Consorci, i assessories diverses</w:t>
      </w:r>
    </w:p>
    <w:p w14:paraId="0EFA1CF8" w14:textId="2A1DE326" w:rsidR="00BF2311" w:rsidRDefault="00B51C85" w:rsidP="00BF2311">
      <w:pPr>
        <w:spacing w:after="120"/>
        <w:jc w:val="both"/>
        <w:rPr>
          <w:lang w:val="ca-ES"/>
        </w:rPr>
      </w:pPr>
      <w:r>
        <w:rPr>
          <w:lang w:val="ca-ES"/>
        </w:rPr>
        <w:t>L’orgànic 120 – Circ, el 710 – Cèl·lula, i el 720 – Gires queden sense dotació inicial, donat que els dos primers es corresponent al Pla d’Impuls del Circ i de la Dansa, del qual el Mercat de les Flors ha estat cap de mesura amb aportacions directe de la Generalitat que els feien possibles, i la situació actual no permet assegurar-ne el finançament, i per tant, tampoc la despesa.</w:t>
      </w:r>
    </w:p>
    <w:p w14:paraId="03598361" w14:textId="30945E4E" w:rsidR="00B51C85" w:rsidRDefault="00B51C85" w:rsidP="00BF2311">
      <w:pPr>
        <w:spacing w:after="120"/>
        <w:jc w:val="both"/>
        <w:rPr>
          <w:lang w:val="ca-ES"/>
        </w:rPr>
      </w:pPr>
      <w:r>
        <w:rPr>
          <w:lang w:val="ca-ES"/>
        </w:rPr>
        <w:t>El cas de l’orgànic 720 – Gires quedarà assumit en la gestió de l’orgànic 100, fora que arribi nova dotació i es reorganitzi l’execució de pressupost</w:t>
      </w:r>
    </w:p>
    <w:p w14:paraId="5D3FC13E" w14:textId="642D24BF" w:rsidR="00BF2311" w:rsidRDefault="00BF2311" w:rsidP="00BF2311">
      <w:pPr>
        <w:spacing w:after="120"/>
        <w:jc w:val="both"/>
        <w:rPr>
          <w:lang w:val="ca-ES"/>
        </w:rPr>
      </w:pPr>
      <w:r w:rsidRPr="00BF2311">
        <w:rPr>
          <w:lang w:val="ca-ES"/>
        </w:rPr>
        <w:t>Atenent a tot allò expressat anteriorment, la distribució de la despesa per als orgànics establerts al</w:t>
      </w:r>
      <w:r>
        <w:rPr>
          <w:lang w:val="ca-ES"/>
        </w:rPr>
        <w:t xml:space="preserve"> </w:t>
      </w:r>
      <w:r w:rsidRPr="00BF2311">
        <w:rPr>
          <w:lang w:val="ca-ES"/>
        </w:rPr>
        <w:t>pressupost 202</w:t>
      </w:r>
      <w:r w:rsidR="00B51C85">
        <w:rPr>
          <w:lang w:val="ca-ES"/>
        </w:rPr>
        <w:t>6</w:t>
      </w:r>
      <w:r w:rsidRPr="00BF2311">
        <w:rPr>
          <w:lang w:val="ca-ES"/>
        </w:rPr>
        <w:t xml:space="preserve"> queda de la forma següent:</w:t>
      </w:r>
    </w:p>
    <w:p w14:paraId="01168ED8" w14:textId="77777777" w:rsidR="00BF2311" w:rsidRDefault="00BF2311" w:rsidP="00BF2311">
      <w:pPr>
        <w:spacing w:after="120"/>
        <w:jc w:val="both"/>
        <w:rPr>
          <w:lang w:val="ca-ES"/>
        </w:rPr>
      </w:pPr>
    </w:p>
    <w:tbl>
      <w:tblPr>
        <w:tblW w:w="5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2820"/>
        <w:gridCol w:w="1680"/>
      </w:tblGrid>
      <w:tr w:rsidR="00BF2311" w:rsidRPr="00BF2311" w14:paraId="7D214C55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300678BB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Orgànic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035272FB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Concepte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11C0E2" w14:textId="7AFBDAE4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Pressupost 202</w:t>
            </w:r>
            <w:r w:rsidR="00B51C85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6</w:t>
            </w:r>
          </w:p>
        </w:tc>
      </w:tr>
      <w:tr w:rsidR="00BF2311" w:rsidRPr="00BF2311" w14:paraId="25E64291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7A4C7D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D50617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Programació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57806A" w14:textId="65430D0A" w:rsidR="00BF2311" w:rsidRPr="00BF2311" w:rsidRDefault="00B51C85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1.530413,13€</w:t>
            </w:r>
          </w:p>
        </w:tc>
      </w:tr>
      <w:tr w:rsidR="00BF2311" w:rsidRPr="00BF2311" w14:paraId="695935FC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948946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62F8AE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Activitats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EAF22A" w14:textId="03605B31" w:rsidR="00BF2311" w:rsidRPr="00BF2311" w:rsidRDefault="00B51C85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175.810,00€</w:t>
            </w:r>
          </w:p>
        </w:tc>
      </w:tr>
      <w:tr w:rsidR="00BF2311" w:rsidRPr="00BF2311" w14:paraId="3569F206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78E0C9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544980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Circ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947C1C" w14:textId="22971123" w:rsidR="00BF2311" w:rsidRPr="00BF2311" w:rsidRDefault="00BF2311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0,00 €</w:t>
            </w:r>
          </w:p>
        </w:tc>
      </w:tr>
      <w:tr w:rsidR="00BF2311" w:rsidRPr="00BF2311" w14:paraId="14F09612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769E55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A4E7AA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Producció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5834DC" w14:textId="5D35AEAE" w:rsidR="00BF2311" w:rsidRPr="00BF2311" w:rsidRDefault="00B51C85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426.694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,00 €</w:t>
            </w:r>
          </w:p>
        </w:tc>
      </w:tr>
      <w:tr w:rsidR="00BF2311" w:rsidRPr="00BF2311" w14:paraId="001C0A8F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B9E237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300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28423B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Comunicació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819ACA" w14:textId="5BF94024" w:rsidR="00BF2311" w:rsidRPr="00BF2311" w:rsidRDefault="00B51C85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407.328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,00 €</w:t>
            </w:r>
          </w:p>
        </w:tc>
      </w:tr>
      <w:tr w:rsidR="00BF2311" w:rsidRPr="00BF2311" w14:paraId="52095490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CDB4E3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A1575C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Administració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A1460D" w14:textId="6A845D2E" w:rsidR="00BF2311" w:rsidRPr="00BF2311" w:rsidRDefault="00B51C85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</w:t>
            </w:r>
            <w:r w:rsidR="00251FB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4.336,00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 xml:space="preserve"> €</w:t>
            </w:r>
          </w:p>
        </w:tc>
      </w:tr>
      <w:tr w:rsidR="00BF2311" w:rsidRPr="00BF2311" w14:paraId="6D099BB4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FDEB42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371FBE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Direcció / secretaria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C96A8D" w14:textId="77777777" w:rsidR="00BF2311" w:rsidRPr="00BF2311" w:rsidRDefault="00BF2311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57.316,00 €</w:t>
            </w:r>
          </w:p>
        </w:tc>
      </w:tr>
      <w:tr w:rsidR="00BF2311" w:rsidRPr="00BF2311" w14:paraId="25A35892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A74B98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0BBBCB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Manteniment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302FB6" w14:textId="116BA102" w:rsidR="00BF2311" w:rsidRPr="00BF2311" w:rsidRDefault="00B51C85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488.471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,00 €</w:t>
            </w:r>
          </w:p>
        </w:tc>
      </w:tr>
      <w:tr w:rsidR="00BF2311" w:rsidRPr="00BF2311" w14:paraId="57E41F3B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89B1D5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499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77F538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Personal Mercat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075210" w14:textId="450C4321" w:rsidR="00BF2311" w:rsidRPr="00BF2311" w:rsidRDefault="00BF2311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2.</w:t>
            </w:r>
            <w:r w:rsidR="00B51C85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201.746,51</w:t>
            </w: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 xml:space="preserve"> €</w:t>
            </w:r>
          </w:p>
        </w:tc>
      </w:tr>
      <w:tr w:rsidR="00BF2311" w:rsidRPr="00BF2311" w14:paraId="4A00FB83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8EF82B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500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D36C61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Inversió ordinària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F18827" w14:textId="77777777" w:rsidR="00BF2311" w:rsidRPr="00BF2311" w:rsidRDefault="00BF2311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37.500,00 €</w:t>
            </w:r>
          </w:p>
        </w:tc>
      </w:tr>
      <w:tr w:rsidR="00BF2311" w:rsidRPr="00BF2311" w14:paraId="643AF126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BDA509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lastRenderedPageBreak/>
              <w:t>510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7118F1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Inversió extraordinària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D6CB1C" w14:textId="72F7AEBC" w:rsidR="00BF2311" w:rsidRPr="00BF2311" w:rsidRDefault="007502D8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1.049</w:t>
            </w:r>
            <w:r w:rsidR="00251FB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.</w:t>
            </w: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845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,00 €</w:t>
            </w:r>
          </w:p>
        </w:tc>
      </w:tr>
      <w:tr w:rsidR="00BF2311" w:rsidRPr="00BF2311" w14:paraId="73AE77F7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4221EF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610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1CB394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Graner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2201DE" w14:textId="081CB4B3" w:rsidR="00BF2311" w:rsidRPr="00BF2311" w:rsidRDefault="007502D8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371.662,75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 xml:space="preserve"> €</w:t>
            </w:r>
          </w:p>
        </w:tc>
      </w:tr>
      <w:tr w:rsidR="00BF2311" w:rsidRPr="00BF2311" w14:paraId="62554A4B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3D222A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620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545A3B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Despesa indirecta per obres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167361" w14:textId="58ACF12C" w:rsidR="00BF2311" w:rsidRPr="00BF2311" w:rsidRDefault="007502D8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34.500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,00 €</w:t>
            </w:r>
          </w:p>
        </w:tc>
      </w:tr>
      <w:tr w:rsidR="00BF2311" w:rsidRPr="00BF2311" w14:paraId="7DBFC5F8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101B66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710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F8176E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Cèl·lula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A7CF12" w14:textId="62B2426D" w:rsidR="00BF2311" w:rsidRPr="00BF2311" w:rsidRDefault="007502D8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0,00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 xml:space="preserve"> €</w:t>
            </w:r>
          </w:p>
        </w:tc>
      </w:tr>
      <w:tr w:rsidR="00BF2311" w:rsidRPr="00BF2311" w14:paraId="48567024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1AB288" w14:textId="77777777" w:rsidR="00BF2311" w:rsidRPr="00BF2311" w:rsidRDefault="00BF2311" w:rsidP="00BF231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720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3FD390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 xml:space="preserve">Gires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A41215" w14:textId="20DA39EE" w:rsidR="00BF2311" w:rsidRPr="00BF2311" w:rsidRDefault="007502D8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0</w:t>
            </w:r>
            <w:r w:rsidR="00BF2311" w:rsidRPr="00BF2311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,00 €</w:t>
            </w:r>
          </w:p>
        </w:tc>
      </w:tr>
      <w:tr w:rsidR="00BF2311" w:rsidRPr="00BF2311" w14:paraId="6AED76F2" w14:textId="77777777" w:rsidTr="00BF2311">
        <w:trPr>
          <w:trHeight w:val="300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18FDFB" w14:textId="77777777" w:rsidR="00BF2311" w:rsidRPr="00BF2311" w:rsidRDefault="00BF2311" w:rsidP="00BF231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4450C" w14:textId="77777777" w:rsidR="00BF2311" w:rsidRPr="00BF2311" w:rsidRDefault="00BF2311" w:rsidP="00BF231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 w:rsidRPr="00BF2311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Total orgànics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9C668" w14:textId="65D31C51" w:rsidR="00BF2311" w:rsidRPr="00BF2311" w:rsidRDefault="007502D8" w:rsidP="00BF231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6.</w:t>
            </w:r>
            <w:r w:rsidR="00251FB1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>881.135,14</w:t>
            </w:r>
            <w:r w:rsidR="00BF2311" w:rsidRPr="00BF2311">
              <w:rPr>
                <w:rFonts w:eastAsia="Times New Roman"/>
                <w:b/>
                <w:bCs/>
                <w:color w:val="000000"/>
                <w:sz w:val="20"/>
                <w:szCs w:val="20"/>
                <w:lang w:val="ca-ES" w:eastAsia="ca-ES"/>
              </w:rPr>
              <w:t xml:space="preserve"> €</w:t>
            </w:r>
          </w:p>
        </w:tc>
      </w:tr>
    </w:tbl>
    <w:p w14:paraId="158B37DC" w14:textId="77777777" w:rsidR="00225EFC" w:rsidRDefault="00225EFC" w:rsidP="00BF2311">
      <w:pPr>
        <w:spacing w:after="120"/>
        <w:jc w:val="both"/>
        <w:rPr>
          <w:lang w:val="ca-ES"/>
        </w:rPr>
      </w:pPr>
    </w:p>
    <w:p w14:paraId="236F65C9" w14:textId="444D21F9" w:rsidR="002D497C" w:rsidRDefault="00225EFC" w:rsidP="00BF2311">
      <w:pPr>
        <w:spacing w:after="120"/>
        <w:jc w:val="both"/>
        <w:rPr>
          <w:lang w:val="ca-ES"/>
        </w:rPr>
      </w:pPr>
      <w:r>
        <w:rPr>
          <w:lang w:val="ca-ES"/>
        </w:rPr>
        <w:t xml:space="preserve">Tota l’activitat econòmica i pressupostària del Consorci Mercat de les Flors està emmarcada en el </w:t>
      </w:r>
      <w:r>
        <w:rPr>
          <w:i/>
          <w:iCs/>
          <w:lang w:val="ca-ES"/>
        </w:rPr>
        <w:t xml:space="preserve">Programa 33321 Equipaments Culturals i Museus. </w:t>
      </w:r>
      <w:r>
        <w:rPr>
          <w:lang w:val="ca-ES"/>
        </w:rPr>
        <w:t>Per evitar la redundància de conceptes, en el detall de partides econòmiques no s’ha especificat el detall del programa.</w:t>
      </w:r>
    </w:p>
    <w:p w14:paraId="5495E5B0" w14:textId="77777777" w:rsidR="002D497C" w:rsidRDefault="002D497C" w:rsidP="00BF2311">
      <w:pPr>
        <w:spacing w:after="120"/>
        <w:jc w:val="both"/>
        <w:rPr>
          <w:lang w:val="ca-ES"/>
        </w:rPr>
        <w:sectPr w:rsidR="002D497C" w:rsidSect="00B8030B">
          <w:headerReference w:type="default" r:id="rId7"/>
          <w:pgSz w:w="11906" w:h="16838"/>
          <w:pgMar w:top="3261" w:right="1701" w:bottom="1417" w:left="1701" w:header="708" w:footer="708" w:gutter="0"/>
          <w:cols w:space="708"/>
          <w:docGrid w:linePitch="360"/>
        </w:sectPr>
      </w:pPr>
    </w:p>
    <w:p w14:paraId="347FC8E4" w14:textId="77777777" w:rsidR="00950A64" w:rsidRDefault="00950A64" w:rsidP="002D497C">
      <w:pPr>
        <w:spacing w:before="99"/>
        <w:rPr>
          <w:rFonts w:ascii="Garamond"/>
          <w:b/>
          <w:color w:val="C00000"/>
          <w:sz w:val="26"/>
          <w:lang w:val="ca-ES"/>
        </w:rPr>
      </w:pPr>
    </w:p>
    <w:p w14:paraId="40CA4655" w14:textId="48DBD4CE" w:rsidR="002D497C" w:rsidRPr="002D497C" w:rsidRDefault="002D497C" w:rsidP="002D497C">
      <w:pPr>
        <w:spacing w:before="99"/>
        <w:rPr>
          <w:rFonts w:ascii="Garamond"/>
          <w:b/>
          <w:color w:val="C00000"/>
          <w:sz w:val="26"/>
          <w:lang w:val="ca-ES"/>
        </w:rPr>
      </w:pPr>
      <w:r w:rsidRPr="002D497C">
        <w:rPr>
          <w:rFonts w:ascii="Garamond"/>
          <w:b/>
          <w:color w:val="C00000"/>
          <w:sz w:val="26"/>
          <w:lang w:val="ca-ES"/>
        </w:rPr>
        <w:t>ESTAT EXECUCI</w:t>
      </w:r>
      <w:r w:rsidRPr="002D497C">
        <w:rPr>
          <w:rFonts w:ascii="Garamond"/>
          <w:b/>
          <w:color w:val="C00000"/>
          <w:sz w:val="26"/>
          <w:lang w:val="ca-ES"/>
        </w:rPr>
        <w:t>Ó</w:t>
      </w:r>
      <w:r w:rsidRPr="002D497C">
        <w:rPr>
          <w:rFonts w:ascii="Garamond"/>
          <w:b/>
          <w:color w:val="C00000"/>
          <w:sz w:val="26"/>
          <w:lang w:val="ca-ES"/>
        </w:rPr>
        <w:t xml:space="preserve"> PRESSUPOST D</w:t>
      </w:r>
      <w:r w:rsidRPr="002D497C">
        <w:rPr>
          <w:rFonts w:ascii="Garamond"/>
          <w:b/>
          <w:color w:val="C00000"/>
          <w:sz w:val="26"/>
          <w:lang w:val="ca-ES"/>
        </w:rPr>
        <w:t>’</w:t>
      </w:r>
      <w:r w:rsidRPr="002D497C">
        <w:rPr>
          <w:rFonts w:ascii="Garamond"/>
          <w:b/>
          <w:color w:val="C00000"/>
          <w:sz w:val="26"/>
          <w:lang w:val="ca-ES"/>
        </w:rPr>
        <w:t>INGRESSOS PRIMERS 6 MESOS 2025</w:t>
      </w:r>
    </w:p>
    <w:p w14:paraId="2FF79CA8" w14:textId="77777777" w:rsidR="002D497C" w:rsidRDefault="002D497C" w:rsidP="00BF2311">
      <w:pPr>
        <w:spacing w:after="120"/>
        <w:jc w:val="both"/>
        <w:rPr>
          <w:lang w:val="ca-ES"/>
        </w:rPr>
      </w:pPr>
    </w:p>
    <w:p w14:paraId="60DCE566" w14:textId="4FD78A28" w:rsidR="002D497C" w:rsidRDefault="002D497C" w:rsidP="00BF2311">
      <w:pPr>
        <w:spacing w:after="120"/>
        <w:jc w:val="both"/>
        <w:rPr>
          <w:lang w:val="ca-ES"/>
        </w:rPr>
      </w:pPr>
      <w:r w:rsidRPr="002D497C">
        <w:rPr>
          <w:noProof/>
        </w:rPr>
        <w:drawing>
          <wp:inline distT="0" distB="0" distL="0" distR="0" wp14:anchorId="64BD1D30" wp14:editId="75D6E60D">
            <wp:extent cx="7721600" cy="3925570"/>
            <wp:effectExtent l="0" t="0" r="0" b="0"/>
            <wp:docPr id="76120596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392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561ED" w14:textId="3A71BBA0" w:rsidR="002D497C" w:rsidRPr="002D497C" w:rsidRDefault="002D497C" w:rsidP="002D497C">
      <w:pPr>
        <w:spacing w:before="99"/>
        <w:rPr>
          <w:rFonts w:ascii="Garamond"/>
          <w:b/>
          <w:color w:val="C00000"/>
          <w:sz w:val="26"/>
          <w:lang w:val="ca-ES"/>
        </w:rPr>
      </w:pPr>
      <w:r w:rsidRPr="002D497C">
        <w:rPr>
          <w:rFonts w:ascii="Garamond"/>
          <w:b/>
          <w:color w:val="C00000"/>
          <w:sz w:val="26"/>
          <w:lang w:val="ca-ES"/>
        </w:rPr>
        <w:lastRenderedPageBreak/>
        <w:t>ESTAT EXECUCI</w:t>
      </w:r>
      <w:r w:rsidRPr="002D497C">
        <w:rPr>
          <w:rFonts w:ascii="Garamond"/>
          <w:b/>
          <w:color w:val="C00000"/>
          <w:sz w:val="26"/>
          <w:lang w:val="ca-ES"/>
        </w:rPr>
        <w:t>Ó</w:t>
      </w:r>
      <w:r w:rsidRPr="002D497C">
        <w:rPr>
          <w:rFonts w:ascii="Garamond"/>
          <w:b/>
          <w:color w:val="C00000"/>
          <w:sz w:val="26"/>
          <w:lang w:val="ca-ES"/>
        </w:rPr>
        <w:t xml:space="preserve"> PRESSUPOST </w:t>
      </w:r>
      <w:r>
        <w:rPr>
          <w:rFonts w:ascii="Garamond"/>
          <w:b/>
          <w:color w:val="C00000"/>
          <w:sz w:val="26"/>
          <w:lang w:val="ca-ES"/>
        </w:rPr>
        <w:t>DE DESPESES</w:t>
      </w:r>
      <w:r w:rsidRPr="002D497C">
        <w:rPr>
          <w:rFonts w:ascii="Garamond"/>
          <w:b/>
          <w:color w:val="C00000"/>
          <w:sz w:val="26"/>
          <w:lang w:val="ca-ES"/>
        </w:rPr>
        <w:t xml:space="preserve"> PRIMER</w:t>
      </w:r>
      <w:r w:rsidR="002666D2">
        <w:rPr>
          <w:rFonts w:ascii="Garamond"/>
          <w:b/>
          <w:color w:val="C00000"/>
          <w:sz w:val="26"/>
          <w:lang w:val="ca-ES"/>
        </w:rPr>
        <w:t>S</w:t>
      </w:r>
      <w:r w:rsidRPr="002D497C">
        <w:rPr>
          <w:rFonts w:ascii="Garamond"/>
          <w:b/>
          <w:color w:val="C00000"/>
          <w:sz w:val="26"/>
          <w:lang w:val="ca-ES"/>
        </w:rPr>
        <w:t xml:space="preserve"> 6 MESOS 2025</w:t>
      </w:r>
    </w:p>
    <w:p w14:paraId="36691D9D" w14:textId="7A6CFD53" w:rsidR="002D497C" w:rsidRDefault="002D497C" w:rsidP="00BF2311">
      <w:pPr>
        <w:spacing w:after="120"/>
        <w:jc w:val="both"/>
        <w:rPr>
          <w:lang w:val="ca-ES"/>
        </w:rPr>
      </w:pPr>
    </w:p>
    <w:p w14:paraId="1271F4BE" w14:textId="23408FE3" w:rsidR="00666C74" w:rsidRDefault="001A62CC" w:rsidP="00BF2311">
      <w:pPr>
        <w:spacing w:after="120"/>
        <w:jc w:val="both"/>
        <w:rPr>
          <w:lang w:val="ca-ES"/>
        </w:rPr>
      </w:pPr>
      <w:r w:rsidRPr="00666C74">
        <w:rPr>
          <w:noProof/>
        </w:rPr>
        <w:drawing>
          <wp:inline distT="0" distB="0" distL="0" distR="0" wp14:anchorId="7EDCCA68" wp14:editId="627B7446">
            <wp:extent cx="7720907" cy="4023360"/>
            <wp:effectExtent l="0" t="0" r="0" b="0"/>
            <wp:docPr id="78859790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5062" cy="4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B9AAB" w14:textId="77777777" w:rsidR="001A62CC" w:rsidRDefault="001A62CC" w:rsidP="00BF2311">
      <w:pPr>
        <w:spacing w:after="120"/>
        <w:jc w:val="both"/>
        <w:rPr>
          <w:lang w:val="ca-ES"/>
        </w:rPr>
      </w:pPr>
    </w:p>
    <w:p w14:paraId="54F4B845" w14:textId="2E69FB59" w:rsidR="002D497C" w:rsidRDefault="00666C74" w:rsidP="00BF2311">
      <w:pPr>
        <w:spacing w:after="120"/>
        <w:jc w:val="both"/>
        <w:rPr>
          <w:lang w:val="ca-ES"/>
        </w:rPr>
      </w:pPr>
      <w:r w:rsidRPr="00666C74">
        <w:rPr>
          <w:noProof/>
        </w:rPr>
        <w:drawing>
          <wp:inline distT="0" distB="0" distL="0" distR="0" wp14:anchorId="20F9EC9C" wp14:editId="2D252B9C">
            <wp:extent cx="7924800" cy="4068629"/>
            <wp:effectExtent l="0" t="0" r="0" b="8255"/>
            <wp:docPr id="69799865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7919" cy="40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D6582" w14:textId="77777777" w:rsidR="002D497C" w:rsidRDefault="002D497C" w:rsidP="00BF2311">
      <w:pPr>
        <w:spacing w:after="120"/>
        <w:jc w:val="both"/>
        <w:rPr>
          <w:lang w:val="ca-ES"/>
        </w:rPr>
      </w:pPr>
    </w:p>
    <w:p w14:paraId="15996562" w14:textId="77777777" w:rsidR="002D497C" w:rsidRDefault="002D497C" w:rsidP="00BF2311">
      <w:pPr>
        <w:spacing w:after="120"/>
        <w:jc w:val="both"/>
        <w:rPr>
          <w:lang w:val="ca-ES"/>
        </w:rPr>
        <w:sectPr w:rsidR="002D497C" w:rsidSect="002D497C">
          <w:pgSz w:w="16838" w:h="11906" w:orient="landscape"/>
          <w:pgMar w:top="1701" w:right="3261" w:bottom="1701" w:left="1417" w:header="708" w:footer="708" w:gutter="0"/>
          <w:cols w:space="708"/>
          <w:docGrid w:linePitch="360"/>
        </w:sectPr>
      </w:pPr>
    </w:p>
    <w:p w14:paraId="3704203A" w14:textId="7CE87D19" w:rsidR="008C1DD6" w:rsidRPr="00B36258" w:rsidRDefault="008C1DD6" w:rsidP="008C1DD6">
      <w:pPr>
        <w:tabs>
          <w:tab w:val="left" w:pos="1143"/>
        </w:tabs>
        <w:spacing w:before="88"/>
        <w:rPr>
          <w:rFonts w:ascii="Century Gothic" w:hAnsi="Century Gothic"/>
          <w:sz w:val="36"/>
          <w:lang w:val="ca-ES"/>
        </w:rPr>
      </w:pPr>
      <w:r>
        <w:rPr>
          <w:rFonts w:ascii="Century Gothic" w:hAnsi="Century Gothic"/>
          <w:color w:val="C00000"/>
          <w:sz w:val="36"/>
          <w:u w:val="single" w:color="FCDBDB"/>
          <w:lang w:val="ca-ES"/>
        </w:rPr>
        <w:lastRenderedPageBreak/>
        <w:t>Annex de personal</w:t>
      </w:r>
      <w:r w:rsidRPr="00B36258">
        <w:rPr>
          <w:rFonts w:ascii="Century Gothic" w:hAnsi="Century Gothic"/>
          <w:color w:val="C00000"/>
          <w:spacing w:val="-23"/>
          <w:sz w:val="36"/>
          <w:u w:val="single" w:color="FCDBDB"/>
          <w:lang w:val="ca-ES"/>
        </w:rPr>
        <w:t xml:space="preserve"> </w:t>
      </w:r>
    </w:p>
    <w:p w14:paraId="3455339A" w14:textId="77777777" w:rsidR="008C1DD6" w:rsidRPr="00B36258" w:rsidRDefault="008C1DD6" w:rsidP="008C1DD6">
      <w:pPr>
        <w:rPr>
          <w:rFonts w:ascii="Century Gothic"/>
          <w:sz w:val="20"/>
          <w:lang w:val="ca-ES"/>
        </w:rPr>
      </w:pPr>
    </w:p>
    <w:p w14:paraId="53D95135" w14:textId="77777777" w:rsidR="004A5885" w:rsidRPr="00071078" w:rsidRDefault="004A5885" w:rsidP="004A5885">
      <w:pPr>
        <w:numPr>
          <w:ilvl w:val="0"/>
          <w:numId w:val="9"/>
        </w:numPr>
        <w:tabs>
          <w:tab w:val="left" w:pos="1143"/>
        </w:tabs>
        <w:spacing w:before="88"/>
        <w:rPr>
          <w:rFonts w:ascii="Century Gothic" w:hAnsi="Century Gothic"/>
          <w:sz w:val="36"/>
          <w:lang w:val="ca-ES"/>
        </w:rPr>
      </w:pPr>
      <w:r>
        <w:rPr>
          <w:rFonts w:ascii="Century Gothic" w:hAnsi="Century Gothic"/>
          <w:color w:val="C00000"/>
          <w:sz w:val="36"/>
          <w:u w:val="single" w:color="FCDBDB"/>
          <w:lang w:val="ca-ES"/>
        </w:rPr>
        <w:t>Detall de despeses de personal 2026</w:t>
      </w:r>
    </w:p>
    <w:p w14:paraId="530D4701" w14:textId="77777777" w:rsidR="004A5885" w:rsidRDefault="004A5885" w:rsidP="004A5885">
      <w:pPr>
        <w:pStyle w:val="Ttol2"/>
        <w:spacing w:before="76"/>
        <w:rPr>
          <w:rFonts w:asciiTheme="minorHAnsi" w:hAnsiTheme="minorHAnsi" w:cstheme="minorHAnsi"/>
          <w:sz w:val="22"/>
          <w:szCs w:val="22"/>
          <w:lang w:val="ca-ES"/>
        </w:rPr>
      </w:pPr>
    </w:p>
    <w:p w14:paraId="3F69C8A8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Les despeses de personal per a l’exercici 2026 es pressuposten en 2.586.500,00€ preveient en aquest concepte la totalitat de pagaments de nòmina de la plantilla actual, i preveient també els costos del cobriment de les vacants que hi ha actualment.</w:t>
      </w:r>
    </w:p>
    <w:p w14:paraId="58439FF5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La previsió de despeses inclou també la contractació de personal de fora de l’estructura vinculat a projectes finançats externament amb continuïtat per a tot l’exercici i que podem preveure ja en pressupost inicial.</w:t>
      </w:r>
    </w:p>
    <w:p w14:paraId="355C6C6C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Les possibles contractacions d’altre personal (en règim especial d’artistes o no) vinculats a projectes gestionats per encàrrec hauran de ser contemplades dins de les modificacions de pressupost que puguin derivar-se de l’acceptació de projectes amb pressupostos afectats.</w:t>
      </w:r>
    </w:p>
    <w:p w14:paraId="35B82CB9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La distribució per econòmics prevista és la següent:</w:t>
      </w:r>
    </w:p>
    <w:p w14:paraId="7598859A" w14:textId="77777777" w:rsidR="004A5885" w:rsidRDefault="004A5885" w:rsidP="004A5885">
      <w:pPr>
        <w:pStyle w:val="Ttol2"/>
        <w:spacing w:before="76"/>
        <w:rPr>
          <w:rFonts w:asciiTheme="minorHAnsi" w:hAnsiTheme="minorHAnsi" w:cstheme="minorHAnsi"/>
          <w:sz w:val="22"/>
          <w:szCs w:val="22"/>
          <w:lang w:val="ca-ES"/>
        </w:rPr>
      </w:pPr>
    </w:p>
    <w:tbl>
      <w:tblPr>
        <w:tblW w:w="58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060"/>
        <w:gridCol w:w="1872"/>
      </w:tblGrid>
      <w:tr w:rsidR="004A5885" w:rsidRPr="004D6256" w14:paraId="47C7CAF2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4A6153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10100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849B12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Retribucions bàsiques directius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3DED5D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93.935,10 € </w:t>
            </w:r>
          </w:p>
        </w:tc>
      </w:tr>
      <w:tr w:rsidR="004A5885" w:rsidRPr="004D6256" w14:paraId="1C28DAB9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C18EAA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12000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8AE70C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Sous del grup A1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CEA8A7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20.207,80 € </w:t>
            </w:r>
          </w:p>
        </w:tc>
      </w:tr>
      <w:tr w:rsidR="004A5885" w:rsidRPr="004D6256" w14:paraId="50EBA2EF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5BACB1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12006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FCF90F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Triennis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EBB0D5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  7.028,80 € </w:t>
            </w:r>
          </w:p>
        </w:tc>
      </w:tr>
      <w:tr w:rsidR="004A5885" w:rsidRPr="004D6256" w14:paraId="38626341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D69691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12100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5B4086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Complement de destinació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C7144B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  9.444,95 € </w:t>
            </w:r>
          </w:p>
        </w:tc>
      </w:tr>
      <w:tr w:rsidR="004A5885" w:rsidRPr="004D6256" w14:paraId="0B8238E2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867E92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12101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B2653C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Complement específic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E25922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23.502,55 € </w:t>
            </w:r>
          </w:p>
        </w:tc>
      </w:tr>
      <w:tr w:rsidR="004A5885" w:rsidRPr="004D6256" w14:paraId="14F4753A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CCED2D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12700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B39E3B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Plans de pensions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CA10D4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      219,65 € </w:t>
            </w:r>
          </w:p>
        </w:tc>
      </w:tr>
      <w:tr w:rsidR="004A5885" w:rsidRPr="004D6256" w14:paraId="18C47A52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41EE3E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13000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5D6E87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Retribucions bàsiques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661F1C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343.565,55 € </w:t>
            </w:r>
          </w:p>
        </w:tc>
      </w:tr>
      <w:tr w:rsidR="004A5885" w:rsidRPr="004D6256" w14:paraId="78B598A0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956D16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13002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86C1E8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Altres remuneracions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C99DBF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665.282,05 € </w:t>
            </w:r>
          </w:p>
        </w:tc>
      </w:tr>
      <w:tr w:rsidR="004A5885" w:rsidRPr="004D6256" w14:paraId="344AEB45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AD3612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13100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004BCC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Laboral temporal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68A33B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791.368,64 € </w:t>
            </w:r>
          </w:p>
        </w:tc>
      </w:tr>
      <w:tr w:rsidR="004A5885" w:rsidRPr="004D6256" w14:paraId="39D1C09B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3091EE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13700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5B2577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Aportaci</w:t>
            </w:r>
            <w:r>
              <w:rPr>
                <w:rFonts w:eastAsia="Times New Roman"/>
                <w:color w:val="000000"/>
                <w:lang w:val="ca-ES" w:eastAsia="ca-ES"/>
              </w:rPr>
              <w:t>ó</w:t>
            </w:r>
            <w:r w:rsidRPr="004D6256">
              <w:rPr>
                <w:rFonts w:eastAsia="Times New Roman"/>
                <w:color w:val="000000"/>
                <w:lang w:val="ca-ES" w:eastAsia="ca-ES"/>
              </w:rPr>
              <w:t xml:space="preserve"> pla pensions laboral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B8FD15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      878,60 € </w:t>
            </w:r>
          </w:p>
        </w:tc>
      </w:tr>
      <w:tr w:rsidR="004A5885" w:rsidRPr="004D6256" w14:paraId="0DFBD05D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D6DA11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15000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789D42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Productivitat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35DA12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96.759,76 € </w:t>
            </w:r>
          </w:p>
        </w:tc>
      </w:tr>
      <w:tr w:rsidR="004A5885" w:rsidRPr="004D6256" w14:paraId="1FDDAB73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7541E0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16000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6CE9CA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Seguretat social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51EC28" w14:textId="77777777" w:rsidR="004A5885" w:rsidRPr="005E404C" w:rsidRDefault="004A5885" w:rsidP="00D63A44">
            <w:pPr>
              <w:widowControl/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518.711,40 € </w:t>
            </w:r>
          </w:p>
        </w:tc>
      </w:tr>
      <w:tr w:rsidR="004A5885" w:rsidRPr="004D6256" w14:paraId="67CFC6E8" w14:textId="77777777" w:rsidTr="00D63A44">
        <w:trPr>
          <w:trHeight w:val="288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072A5B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16002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F094CA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4D6256">
              <w:rPr>
                <w:rFonts w:eastAsia="Times New Roman"/>
                <w:color w:val="000000"/>
                <w:lang w:val="ca-ES" w:eastAsia="ca-ES"/>
              </w:rPr>
              <w:t>Quotes socials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88D7E8" w14:textId="77777777" w:rsidR="004A5885" w:rsidRPr="008638DF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ca-ES" w:eastAsia="ca-ES"/>
              </w:rPr>
            </w:pPr>
            <w:r>
              <w:rPr>
                <w:color w:val="000000"/>
              </w:rPr>
              <w:t xml:space="preserve">            15.595,15 € </w:t>
            </w:r>
          </w:p>
        </w:tc>
      </w:tr>
      <w:tr w:rsidR="004A5885" w:rsidRPr="004D6256" w14:paraId="5360B5E7" w14:textId="77777777" w:rsidTr="00D63A44">
        <w:trPr>
          <w:trHeight w:val="132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9424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55E519" w14:textId="77777777" w:rsidR="004A5885" w:rsidRPr="004D6256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2B685" w14:textId="77777777" w:rsidR="004A5885" w:rsidRPr="004D6256" w:rsidRDefault="004A5885" w:rsidP="00D63A44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  <w:r>
              <w:rPr>
                <w:b/>
                <w:bCs/>
                <w:color w:val="000000"/>
              </w:rPr>
              <w:t xml:space="preserve">       </w:t>
            </w:r>
          </w:p>
        </w:tc>
      </w:tr>
      <w:tr w:rsidR="004A5885" w:rsidRPr="004D6256" w14:paraId="71DF37CC" w14:textId="77777777" w:rsidTr="00D63A44">
        <w:trPr>
          <w:trHeight w:val="288"/>
          <w:jc w:val="center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2F317D" w14:textId="77777777" w:rsidR="004A5885" w:rsidRPr="004D6256" w:rsidRDefault="004A5885" w:rsidP="00D63A44">
            <w:pPr>
              <w:widowControl/>
              <w:autoSpaceDE/>
              <w:autoSpaceDN/>
              <w:rPr>
                <w:rFonts w:eastAsia="Times New Roman"/>
                <w:b/>
                <w:bCs/>
                <w:color w:val="C00000"/>
                <w:lang w:val="ca-ES" w:eastAsia="ca-ES"/>
              </w:rPr>
            </w:pPr>
            <w:r>
              <w:rPr>
                <w:rFonts w:eastAsia="Times New Roman"/>
                <w:b/>
                <w:bCs/>
                <w:color w:val="C00000"/>
                <w:lang w:val="ca-ES" w:eastAsia="ca-ES"/>
              </w:rPr>
              <w:t xml:space="preserve"> </w:t>
            </w:r>
            <w:r w:rsidRPr="004D6256">
              <w:rPr>
                <w:rFonts w:eastAsia="Times New Roman"/>
                <w:b/>
                <w:bCs/>
                <w:color w:val="C00000"/>
                <w:lang w:val="ca-ES" w:eastAsia="ca-ES"/>
              </w:rPr>
              <w:t>TOTAL CAPÍTOL 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A68B1" w14:textId="77777777" w:rsidR="004A5885" w:rsidRPr="004D6256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C00000"/>
                <w:lang w:val="ca-ES" w:eastAsia="ca-ES"/>
              </w:rPr>
            </w:pPr>
            <w:r>
              <w:rPr>
                <w:rFonts w:eastAsia="Times New Roman"/>
                <w:b/>
                <w:bCs/>
                <w:color w:val="C00000"/>
                <w:lang w:val="ca-ES" w:eastAsia="ca-ES"/>
              </w:rPr>
              <w:t xml:space="preserve"> 2.586.500,00 € </w:t>
            </w:r>
          </w:p>
        </w:tc>
      </w:tr>
    </w:tbl>
    <w:p w14:paraId="1B6C83B9" w14:textId="77777777" w:rsidR="004A5885" w:rsidRDefault="004A5885" w:rsidP="004A5885">
      <w:pPr>
        <w:pStyle w:val="Ttol2"/>
        <w:spacing w:before="76"/>
        <w:rPr>
          <w:sz w:val="22"/>
          <w:szCs w:val="22"/>
          <w:lang w:val="ca-ES"/>
        </w:rPr>
      </w:pPr>
    </w:p>
    <w:p w14:paraId="2D06185D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La distribució del cost de personal segons lloc de treball incloent costos socials és:</w:t>
      </w:r>
    </w:p>
    <w:p w14:paraId="5DE17E8D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</w:p>
    <w:tbl>
      <w:tblPr>
        <w:tblW w:w="5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0"/>
        <w:gridCol w:w="1970"/>
        <w:gridCol w:w="1580"/>
      </w:tblGrid>
      <w:tr w:rsidR="004A5885" w:rsidRPr="00C93E88" w14:paraId="2880EB6A" w14:textId="77777777" w:rsidTr="00D63A44">
        <w:trPr>
          <w:trHeight w:val="288"/>
          <w:jc w:val="center"/>
        </w:trPr>
        <w:tc>
          <w:tcPr>
            <w:tcW w:w="3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C0CE1A" w14:textId="77777777" w:rsidR="004A5885" w:rsidRPr="00C93E88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C93E88">
              <w:rPr>
                <w:rFonts w:eastAsia="Times New Roman"/>
                <w:color w:val="000000"/>
                <w:lang w:val="ca-ES" w:eastAsia="ca-ES"/>
              </w:rPr>
              <w:t>Places ocupades per personal directiu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AF7DFC" w14:textId="77777777" w:rsidR="004A5885" w:rsidRPr="00270E16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highlight w:val="yellow"/>
                <w:lang w:val="ca-ES" w:eastAsia="ca-ES"/>
              </w:rPr>
            </w:pPr>
            <w:r>
              <w:rPr>
                <w:rFonts w:eastAsia="Times New Roman"/>
                <w:color w:val="000000"/>
                <w:lang w:val="ca-ES" w:eastAsia="ca-ES"/>
              </w:rPr>
              <w:t>109.545,00 €</w:t>
            </w:r>
          </w:p>
        </w:tc>
      </w:tr>
      <w:tr w:rsidR="004A5885" w:rsidRPr="00C93E88" w14:paraId="31F7EA9D" w14:textId="77777777" w:rsidTr="00D63A44">
        <w:trPr>
          <w:trHeight w:val="288"/>
          <w:jc w:val="center"/>
        </w:trPr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D40431" w14:textId="77777777" w:rsidR="004A5885" w:rsidRPr="00C93E88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C93E88">
              <w:rPr>
                <w:rFonts w:eastAsia="Times New Roman"/>
                <w:color w:val="000000"/>
                <w:lang w:val="ca-ES" w:eastAsia="ca-ES"/>
              </w:rPr>
              <w:t>Places ocupades per personal funcionari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B1BEF8" w14:textId="77777777" w:rsidR="004A5885" w:rsidRPr="00270E16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highlight w:val="yellow"/>
                <w:lang w:val="ca-ES" w:eastAsia="ca-ES"/>
              </w:rPr>
            </w:pPr>
            <w:r>
              <w:rPr>
                <w:rFonts w:eastAsia="Times New Roman"/>
                <w:color w:val="000000"/>
                <w:lang w:val="ca-ES" w:eastAsia="ca-ES"/>
              </w:rPr>
              <w:t>75.366,09 €</w:t>
            </w:r>
            <w:r w:rsidRPr="008638DF">
              <w:rPr>
                <w:rFonts w:eastAsia="Times New Roman"/>
                <w:color w:val="000000"/>
                <w:lang w:val="ca-ES" w:eastAsia="ca-ES"/>
              </w:rPr>
              <w:t xml:space="preserve"> </w:t>
            </w:r>
          </w:p>
        </w:tc>
      </w:tr>
      <w:tr w:rsidR="004A5885" w:rsidRPr="00C93E88" w14:paraId="192A3084" w14:textId="77777777" w:rsidTr="00D63A44">
        <w:trPr>
          <w:trHeight w:val="288"/>
          <w:jc w:val="center"/>
        </w:trPr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F05D8F" w14:textId="77777777" w:rsidR="004A5885" w:rsidRPr="00C93E88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  <w:r w:rsidRPr="00C93E88">
              <w:rPr>
                <w:rFonts w:eastAsia="Times New Roman"/>
                <w:color w:val="000000"/>
                <w:lang w:val="ca-ES" w:eastAsia="ca-ES"/>
              </w:rPr>
              <w:t>Places ocupades per personal laboral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41E63B" w14:textId="77777777" w:rsidR="004A5885" w:rsidRPr="00270E16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highlight w:val="yellow"/>
                <w:lang w:val="ca-ES" w:eastAsia="ca-ES"/>
              </w:rPr>
            </w:pPr>
            <w:r>
              <w:rPr>
                <w:rFonts w:eastAsia="Times New Roman"/>
                <w:color w:val="000000"/>
                <w:lang w:val="ca-ES" w:eastAsia="ca-ES"/>
              </w:rPr>
              <w:t>2.401.588,91 €</w:t>
            </w:r>
            <w:r w:rsidRPr="008638DF">
              <w:rPr>
                <w:rFonts w:eastAsia="Times New Roman"/>
                <w:color w:val="000000"/>
                <w:lang w:val="ca-ES" w:eastAsia="ca-ES"/>
              </w:rPr>
              <w:t xml:space="preserve"> </w:t>
            </w:r>
          </w:p>
        </w:tc>
      </w:tr>
      <w:tr w:rsidR="004A5885" w:rsidRPr="00C93E88" w14:paraId="2D417C29" w14:textId="77777777" w:rsidTr="00D63A44">
        <w:trPr>
          <w:trHeight w:val="288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3EB95" w14:textId="77777777" w:rsidR="004A5885" w:rsidRPr="00C93E88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lang w:val="ca-ES" w:eastAsia="ca-ES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16C5F" w14:textId="77777777" w:rsidR="004A5885" w:rsidRPr="00C93E88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77006" w14:textId="77777777" w:rsidR="004A5885" w:rsidRPr="00C93E88" w:rsidRDefault="004A5885" w:rsidP="00D63A44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C93E88" w14:paraId="7E62148B" w14:textId="77777777" w:rsidTr="00D63A44">
        <w:trPr>
          <w:trHeight w:val="288"/>
          <w:jc w:val="center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4EC8A" w14:textId="77777777" w:rsidR="004A5885" w:rsidRPr="00C93E88" w:rsidRDefault="004A5885" w:rsidP="00D63A44">
            <w:pPr>
              <w:widowControl/>
              <w:autoSpaceDE/>
              <w:autoSpaceDN/>
              <w:rPr>
                <w:rFonts w:eastAsia="Times New Roman"/>
                <w:b/>
                <w:bCs/>
                <w:color w:val="C00000"/>
                <w:lang w:val="ca-ES" w:eastAsia="ca-ES"/>
              </w:rPr>
            </w:pPr>
            <w:r>
              <w:rPr>
                <w:rFonts w:eastAsia="Times New Roman"/>
                <w:b/>
                <w:bCs/>
                <w:color w:val="C00000"/>
                <w:lang w:val="ca-ES" w:eastAsia="ca-ES"/>
              </w:rPr>
              <w:t xml:space="preserve"> </w:t>
            </w:r>
            <w:r w:rsidRPr="00C93E88">
              <w:rPr>
                <w:rFonts w:eastAsia="Times New Roman"/>
                <w:b/>
                <w:bCs/>
                <w:color w:val="C00000"/>
                <w:lang w:val="ca-ES" w:eastAsia="ca-ES"/>
              </w:rPr>
              <w:t>TOTAL CAPÍTOL 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33417" w14:textId="77777777" w:rsidR="004A5885" w:rsidRPr="00C93E88" w:rsidRDefault="004A5885" w:rsidP="00D63A44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C00000"/>
                <w:lang w:val="ca-ES" w:eastAsia="ca-ES"/>
              </w:rPr>
            </w:pPr>
            <w:r>
              <w:rPr>
                <w:rFonts w:eastAsia="Times New Roman"/>
                <w:b/>
                <w:bCs/>
                <w:color w:val="C00000"/>
                <w:lang w:val="ca-ES" w:eastAsia="ca-ES"/>
              </w:rPr>
              <w:t>2.586.500,00 €</w:t>
            </w:r>
          </w:p>
        </w:tc>
      </w:tr>
    </w:tbl>
    <w:p w14:paraId="13BB0F8F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</w:p>
    <w:p w14:paraId="0A50AC8E" w14:textId="77777777" w:rsidR="004A5885" w:rsidRDefault="004A5885" w:rsidP="004A5885">
      <w:pPr>
        <w:pStyle w:val="Ttol2"/>
        <w:spacing w:before="76"/>
        <w:rPr>
          <w:sz w:val="22"/>
          <w:szCs w:val="22"/>
          <w:lang w:val="ca-ES"/>
        </w:rPr>
      </w:pPr>
    </w:p>
    <w:p w14:paraId="53F881A0" w14:textId="77777777" w:rsidR="004A5885" w:rsidRDefault="004A5885" w:rsidP="004A5885">
      <w:pPr>
        <w:pStyle w:val="Ttol2"/>
        <w:spacing w:before="76"/>
        <w:rPr>
          <w:sz w:val="22"/>
          <w:szCs w:val="22"/>
          <w:lang w:val="ca-ES"/>
        </w:rPr>
      </w:pPr>
    </w:p>
    <w:p w14:paraId="7F91C03F" w14:textId="77777777" w:rsidR="004A5885" w:rsidRDefault="004A5885" w:rsidP="004A5885">
      <w:pPr>
        <w:pStyle w:val="Ttol2"/>
        <w:spacing w:before="76"/>
        <w:rPr>
          <w:sz w:val="22"/>
          <w:szCs w:val="22"/>
          <w:lang w:val="ca-ES"/>
        </w:rPr>
      </w:pPr>
    </w:p>
    <w:p w14:paraId="15892B06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 w:rsidRPr="00C93E88">
        <w:rPr>
          <w:rFonts w:asciiTheme="minorHAnsi" w:hAnsiTheme="minorHAnsi" w:cstheme="minorHAnsi"/>
          <w:lang w:val="ca-ES"/>
        </w:rPr>
        <w:t>L’estimació de cost del capítol 1 per a 202</w:t>
      </w:r>
      <w:r>
        <w:rPr>
          <w:rFonts w:asciiTheme="minorHAnsi" w:hAnsiTheme="minorHAnsi" w:cstheme="minorHAnsi"/>
          <w:lang w:val="ca-ES"/>
        </w:rPr>
        <w:t>6</w:t>
      </w:r>
      <w:r w:rsidRPr="00C93E88">
        <w:rPr>
          <w:rFonts w:asciiTheme="minorHAnsi" w:hAnsiTheme="minorHAnsi" w:cstheme="minorHAnsi"/>
          <w:lang w:val="ca-ES"/>
        </w:rPr>
        <w:t xml:space="preserve"> en </w:t>
      </w:r>
      <w:r>
        <w:rPr>
          <w:rFonts w:eastAsia="Times New Roman"/>
          <w:lang w:val="ca-ES" w:eastAsia="ca-ES"/>
        </w:rPr>
        <w:t>2.586.500,00</w:t>
      </w:r>
      <w:r w:rsidRPr="00270E16">
        <w:rPr>
          <w:rFonts w:eastAsia="Times New Roman"/>
          <w:b/>
          <w:bCs/>
          <w:lang w:val="ca-ES" w:eastAsia="ca-ES"/>
        </w:rPr>
        <w:t xml:space="preserve"> </w:t>
      </w:r>
      <w:r>
        <w:rPr>
          <w:rFonts w:asciiTheme="minorHAnsi" w:hAnsiTheme="minorHAnsi" w:cstheme="minorHAnsi"/>
          <w:lang w:val="ca-ES"/>
        </w:rPr>
        <w:t>€</w:t>
      </w:r>
      <w:r w:rsidRPr="00C93E88">
        <w:rPr>
          <w:rFonts w:asciiTheme="minorHAnsi" w:hAnsiTheme="minorHAnsi" w:cstheme="minorHAnsi"/>
          <w:lang w:val="ca-ES"/>
        </w:rPr>
        <w:t xml:space="preserve"> s’ha fet comptant les situacions següents</w:t>
      </w:r>
      <w:r>
        <w:rPr>
          <w:rFonts w:asciiTheme="minorHAnsi" w:hAnsiTheme="minorHAnsi" w:cstheme="minorHAnsi"/>
          <w:lang w:val="ca-ES"/>
        </w:rPr>
        <w:t>:</w:t>
      </w:r>
    </w:p>
    <w:p w14:paraId="4A443BA7" w14:textId="77777777" w:rsidR="004A5885" w:rsidRDefault="004A5885" w:rsidP="004A5885">
      <w:p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</w:p>
    <w:p w14:paraId="36B15188" w14:textId="77777777" w:rsidR="004A5885" w:rsidRDefault="004A5885" w:rsidP="004A5885">
      <w:pPr>
        <w:numPr>
          <w:ilvl w:val="0"/>
          <w:numId w:val="8"/>
        </w:num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Es preveu completar el procés d’ocupació de totes les vacants d’estructura que es  va iniciar a finals de 2022, amb els procediments acordats amb la part sindical i aprovats per Consell General</w:t>
      </w:r>
    </w:p>
    <w:p w14:paraId="4B919C68" w14:textId="77777777" w:rsidR="004A5885" w:rsidRDefault="004A5885" w:rsidP="004A5885">
      <w:pPr>
        <w:numPr>
          <w:ilvl w:val="0"/>
          <w:numId w:val="8"/>
        </w:num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Es preveu ocupar les vacants de nous llocs creats a partir de la modificació de la RLT del Consorci aprovada per Consell General de data 1 d’octubre de 2025</w:t>
      </w:r>
    </w:p>
    <w:p w14:paraId="2C2A1EFE" w14:textId="77777777" w:rsidR="004A5885" w:rsidRDefault="004A5885" w:rsidP="004A5885">
      <w:pPr>
        <w:numPr>
          <w:ilvl w:val="0"/>
          <w:numId w:val="8"/>
        </w:num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 xml:space="preserve">Es preveu continuar contractant personal de reforç als muntatges i desmuntatges escènics a partir de la borsa de treball habilitada per a aquestes necessitats </w:t>
      </w:r>
    </w:p>
    <w:p w14:paraId="66F3CE9D" w14:textId="77777777" w:rsidR="004A5885" w:rsidRDefault="004A5885" w:rsidP="004A5885">
      <w:pPr>
        <w:numPr>
          <w:ilvl w:val="0"/>
          <w:numId w:val="8"/>
        </w:num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Es preveu continuar amb el servei de reforços per projectes específics dotats externament</w:t>
      </w:r>
    </w:p>
    <w:p w14:paraId="324A3CCB" w14:textId="77777777" w:rsidR="004A5885" w:rsidRDefault="004A5885" w:rsidP="004A5885">
      <w:pPr>
        <w:numPr>
          <w:ilvl w:val="0"/>
          <w:numId w:val="8"/>
        </w:num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Es preveu un increment salarial del 0,5% al conjunt de la plantilla segons està previst que es reguli a nivell general per tot l’estat.</w:t>
      </w:r>
    </w:p>
    <w:p w14:paraId="650B16D4" w14:textId="77777777" w:rsidR="004A5885" w:rsidRDefault="004A5885" w:rsidP="004A5885">
      <w:pPr>
        <w:numPr>
          <w:ilvl w:val="0"/>
          <w:numId w:val="8"/>
        </w:num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Es preveuen també els increments salarials derivats de l’aplicació del conveni en conceptes com el venciment de triennis o productivitat.</w:t>
      </w:r>
    </w:p>
    <w:p w14:paraId="7577B01C" w14:textId="77777777" w:rsidR="004A5885" w:rsidRDefault="004A5885" w:rsidP="004A5885">
      <w:pPr>
        <w:numPr>
          <w:ilvl w:val="0"/>
          <w:numId w:val="8"/>
        </w:numPr>
        <w:tabs>
          <w:tab w:val="left" w:pos="740"/>
        </w:tabs>
        <w:spacing w:after="120"/>
        <w:jc w:val="both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t>Hi ha una dotació per a la contractació d’artistes per una activitat ja programada, i que s’ampliarà en cas que s’obtinguin aportacions afectades a aquest tipus de projectes i contractacions.</w:t>
      </w:r>
    </w:p>
    <w:p w14:paraId="0BAC0DFF" w14:textId="77777777" w:rsidR="004A5885" w:rsidRDefault="004A5885" w:rsidP="004A588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lang w:val="ca-ES"/>
        </w:rPr>
        <w:br w:type="page"/>
      </w:r>
    </w:p>
    <w:p w14:paraId="62A1B1CC" w14:textId="77777777" w:rsidR="004A5885" w:rsidRDefault="004A5885" w:rsidP="004A588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lang w:val="ca-ES"/>
        </w:rPr>
      </w:pPr>
    </w:p>
    <w:p w14:paraId="702EC7DB" w14:textId="77777777" w:rsidR="004A5885" w:rsidRPr="00EF3F76" w:rsidRDefault="004A5885" w:rsidP="004A5885">
      <w:pPr>
        <w:pStyle w:val="Ttol7"/>
        <w:numPr>
          <w:ilvl w:val="0"/>
          <w:numId w:val="9"/>
        </w:numPr>
        <w:tabs>
          <w:tab w:val="left" w:pos="8813"/>
        </w:tabs>
        <w:ind w:right="510"/>
        <w:rPr>
          <w:sz w:val="16"/>
          <w:szCs w:val="16"/>
          <w:lang w:val="ca-ES"/>
        </w:rPr>
      </w:pPr>
      <w:r w:rsidRPr="00F4755D">
        <w:rPr>
          <w:color w:val="C00000"/>
          <w:sz w:val="36"/>
          <w:szCs w:val="36"/>
          <w:lang w:val="ca-ES"/>
        </w:rPr>
        <w:t>Estructura organitzativa del Consorci Mercat de les</w:t>
      </w:r>
      <w:r w:rsidRPr="00F4755D">
        <w:rPr>
          <w:color w:val="C00000"/>
          <w:spacing w:val="-2"/>
          <w:sz w:val="36"/>
          <w:szCs w:val="36"/>
          <w:lang w:val="ca-ES"/>
        </w:rPr>
        <w:t xml:space="preserve"> </w:t>
      </w:r>
      <w:r w:rsidRPr="00F4755D">
        <w:rPr>
          <w:color w:val="C00000"/>
          <w:sz w:val="36"/>
          <w:szCs w:val="36"/>
          <w:lang w:val="ca-ES"/>
        </w:rPr>
        <w:t>Flors</w:t>
      </w:r>
      <w:r w:rsidRPr="00EF3F76">
        <w:rPr>
          <w:color w:val="C00000"/>
          <w:sz w:val="16"/>
          <w:szCs w:val="16"/>
          <w:u w:color="FCDBDB"/>
          <w:lang w:val="ca-ES"/>
        </w:rPr>
        <w:tab/>
      </w:r>
    </w:p>
    <w:p w14:paraId="4DB61A36" w14:textId="77777777" w:rsidR="004A5885" w:rsidRPr="0059229F" w:rsidRDefault="004A5885" w:rsidP="004A5885">
      <w:pPr>
        <w:spacing w:before="10"/>
        <w:rPr>
          <w:rFonts w:ascii="Century Gothic"/>
          <w:sz w:val="17"/>
          <w:lang w:val="ca-ES"/>
        </w:rPr>
      </w:pPr>
    </w:p>
    <w:p w14:paraId="5E187AFB" w14:textId="77777777" w:rsidR="004A5885" w:rsidRPr="0059229F" w:rsidRDefault="004A5885" w:rsidP="004A5885">
      <w:pPr>
        <w:spacing w:before="171"/>
        <w:ind w:right="-26"/>
        <w:jc w:val="both"/>
        <w:rPr>
          <w:lang w:val="ca-ES"/>
        </w:rPr>
      </w:pPr>
      <w:r w:rsidRPr="0059229F">
        <w:rPr>
          <w:lang w:val="ca-ES"/>
        </w:rPr>
        <w:t>El personal del Consorci s’estructura en direcció, quatre departaments</w:t>
      </w:r>
      <w:r>
        <w:rPr>
          <w:lang w:val="ca-ES"/>
        </w:rPr>
        <w:t>,</w:t>
      </w:r>
      <w:r w:rsidRPr="0059229F">
        <w:rPr>
          <w:lang w:val="ca-ES"/>
        </w:rPr>
        <w:t xml:space="preserve"> un projecte subvencionat amb continuïtat en tot el període i que compta amb dotació per a personal</w:t>
      </w:r>
      <w:r>
        <w:rPr>
          <w:lang w:val="ca-ES"/>
        </w:rPr>
        <w:t>, i dos llocs de serveis transversals</w:t>
      </w:r>
      <w:r w:rsidRPr="0059229F">
        <w:rPr>
          <w:lang w:val="ca-ES"/>
        </w:rPr>
        <w:t>. La dotació d’efectius de personal per cada una d’aquestes dependències és la següent:</w:t>
      </w:r>
    </w:p>
    <w:p w14:paraId="6C32E891" w14:textId="77777777" w:rsidR="004A5885" w:rsidRPr="005B2E88" w:rsidRDefault="004A5885" w:rsidP="004A5885">
      <w:pPr>
        <w:numPr>
          <w:ilvl w:val="0"/>
          <w:numId w:val="10"/>
        </w:numPr>
        <w:tabs>
          <w:tab w:val="right" w:leader="dot" w:pos="5670"/>
        </w:tabs>
        <w:spacing w:before="121"/>
        <w:ind w:right="-26"/>
        <w:jc w:val="both"/>
        <w:rPr>
          <w:lang w:val="ca-ES"/>
        </w:rPr>
      </w:pPr>
      <w:r w:rsidRPr="005B2E88">
        <w:rPr>
          <w:lang w:val="ca-ES"/>
        </w:rPr>
        <w:t>Direcció</w:t>
      </w:r>
      <w:r w:rsidRPr="005B2E88">
        <w:rPr>
          <w:lang w:val="ca-ES"/>
        </w:rPr>
        <w:tab/>
      </w:r>
      <w:r>
        <w:rPr>
          <w:lang w:val="ca-ES"/>
        </w:rPr>
        <w:t>2</w:t>
      </w:r>
      <w:r w:rsidRPr="005B2E88">
        <w:rPr>
          <w:spacing w:val="-2"/>
          <w:lang w:val="ca-ES"/>
        </w:rPr>
        <w:t xml:space="preserve"> </w:t>
      </w:r>
      <w:r w:rsidRPr="005B2E88">
        <w:rPr>
          <w:lang w:val="ca-ES"/>
        </w:rPr>
        <w:t>llocs</w:t>
      </w:r>
    </w:p>
    <w:p w14:paraId="7810E667" w14:textId="77777777" w:rsidR="004A5885" w:rsidRPr="005B2E88" w:rsidRDefault="004A5885" w:rsidP="004A5885">
      <w:pPr>
        <w:numPr>
          <w:ilvl w:val="0"/>
          <w:numId w:val="10"/>
        </w:numPr>
        <w:tabs>
          <w:tab w:val="right" w:leader="dot" w:pos="5670"/>
        </w:tabs>
        <w:spacing w:before="39"/>
        <w:ind w:right="-26"/>
        <w:jc w:val="both"/>
        <w:rPr>
          <w:lang w:val="ca-ES"/>
        </w:rPr>
      </w:pPr>
      <w:r w:rsidRPr="005B2E88">
        <w:rPr>
          <w:lang w:val="ca-ES"/>
        </w:rPr>
        <w:t>Continguts</w:t>
      </w:r>
      <w:r w:rsidRPr="005B2E88">
        <w:rPr>
          <w:lang w:val="ca-ES"/>
        </w:rPr>
        <w:tab/>
      </w:r>
      <w:r>
        <w:rPr>
          <w:lang w:val="ca-ES"/>
        </w:rPr>
        <w:t>3</w:t>
      </w:r>
      <w:r w:rsidRPr="005B2E88">
        <w:rPr>
          <w:spacing w:val="-2"/>
          <w:lang w:val="ca-ES"/>
        </w:rPr>
        <w:t xml:space="preserve"> </w:t>
      </w:r>
      <w:r w:rsidRPr="005B2E88">
        <w:rPr>
          <w:lang w:val="ca-ES"/>
        </w:rPr>
        <w:t>llocs</w:t>
      </w:r>
    </w:p>
    <w:p w14:paraId="3B63F4A1" w14:textId="77777777" w:rsidR="004A5885" w:rsidRPr="005B2E88" w:rsidRDefault="004A5885" w:rsidP="004A5885">
      <w:pPr>
        <w:numPr>
          <w:ilvl w:val="0"/>
          <w:numId w:val="10"/>
        </w:numPr>
        <w:tabs>
          <w:tab w:val="right" w:leader="dot" w:pos="5670"/>
        </w:tabs>
        <w:spacing w:before="41"/>
        <w:ind w:right="-26"/>
        <w:jc w:val="both"/>
        <w:rPr>
          <w:lang w:val="ca-ES"/>
        </w:rPr>
      </w:pPr>
      <w:r w:rsidRPr="005B2E88">
        <w:rPr>
          <w:lang w:val="ca-ES"/>
        </w:rPr>
        <w:t>Administració</w:t>
      </w:r>
      <w:r w:rsidRPr="005B2E88">
        <w:rPr>
          <w:lang w:val="ca-ES"/>
        </w:rPr>
        <w:tab/>
      </w:r>
      <w:r>
        <w:rPr>
          <w:lang w:val="ca-ES"/>
        </w:rPr>
        <w:t>7</w:t>
      </w:r>
      <w:r w:rsidRPr="005B2E88">
        <w:rPr>
          <w:spacing w:val="-2"/>
          <w:lang w:val="ca-ES"/>
        </w:rPr>
        <w:t xml:space="preserve"> </w:t>
      </w:r>
      <w:r w:rsidRPr="005B2E88">
        <w:rPr>
          <w:lang w:val="ca-ES"/>
        </w:rPr>
        <w:t>llocs</w:t>
      </w:r>
    </w:p>
    <w:p w14:paraId="04AC9E08" w14:textId="77777777" w:rsidR="004A5885" w:rsidRPr="005B2E88" w:rsidRDefault="004A5885" w:rsidP="004A5885">
      <w:pPr>
        <w:numPr>
          <w:ilvl w:val="0"/>
          <w:numId w:val="10"/>
        </w:numPr>
        <w:tabs>
          <w:tab w:val="right" w:leader="dot" w:pos="5670"/>
        </w:tabs>
        <w:spacing w:before="41"/>
        <w:ind w:right="-26"/>
        <w:jc w:val="both"/>
        <w:rPr>
          <w:lang w:val="ca-ES"/>
        </w:rPr>
      </w:pPr>
      <w:r w:rsidRPr="005B2E88">
        <w:rPr>
          <w:lang w:val="ca-ES"/>
        </w:rPr>
        <w:t>Comunicació</w:t>
      </w:r>
      <w:r w:rsidRPr="005B2E88">
        <w:rPr>
          <w:lang w:val="ca-ES"/>
        </w:rPr>
        <w:tab/>
      </w:r>
      <w:r>
        <w:rPr>
          <w:lang w:val="ca-ES"/>
        </w:rPr>
        <w:t>7</w:t>
      </w:r>
      <w:r w:rsidRPr="005B2E88">
        <w:rPr>
          <w:spacing w:val="-2"/>
          <w:lang w:val="ca-ES"/>
        </w:rPr>
        <w:t xml:space="preserve"> </w:t>
      </w:r>
      <w:r w:rsidRPr="005B2E88">
        <w:rPr>
          <w:lang w:val="ca-ES"/>
        </w:rPr>
        <w:t>llocs</w:t>
      </w:r>
    </w:p>
    <w:p w14:paraId="6D374EB4" w14:textId="77777777" w:rsidR="004A5885" w:rsidRPr="005B2E88" w:rsidRDefault="004A5885" w:rsidP="004A5885">
      <w:pPr>
        <w:numPr>
          <w:ilvl w:val="0"/>
          <w:numId w:val="10"/>
        </w:numPr>
        <w:tabs>
          <w:tab w:val="right" w:leader="dot" w:pos="5670"/>
        </w:tabs>
        <w:spacing w:before="39"/>
        <w:ind w:right="-26"/>
        <w:jc w:val="both"/>
        <w:rPr>
          <w:lang w:val="ca-ES"/>
        </w:rPr>
      </w:pPr>
      <w:r w:rsidRPr="005B2E88">
        <w:rPr>
          <w:lang w:val="ca-ES"/>
        </w:rPr>
        <w:t>Producció</w:t>
      </w:r>
      <w:r w:rsidRPr="005B2E88">
        <w:rPr>
          <w:lang w:val="ca-ES"/>
        </w:rPr>
        <w:tab/>
        <w:t>1</w:t>
      </w:r>
      <w:r>
        <w:rPr>
          <w:lang w:val="ca-ES"/>
        </w:rPr>
        <w:t>3</w:t>
      </w:r>
      <w:r w:rsidRPr="005B2E88">
        <w:rPr>
          <w:lang w:val="ca-ES"/>
        </w:rPr>
        <w:t xml:space="preserve"> llocs</w:t>
      </w:r>
    </w:p>
    <w:p w14:paraId="7DD33943" w14:textId="77777777" w:rsidR="004A5885" w:rsidRDefault="004A5885" w:rsidP="004A5885">
      <w:pPr>
        <w:numPr>
          <w:ilvl w:val="0"/>
          <w:numId w:val="10"/>
        </w:numPr>
        <w:tabs>
          <w:tab w:val="right" w:leader="dot" w:pos="5670"/>
        </w:tabs>
        <w:spacing w:before="42"/>
        <w:ind w:right="-26"/>
        <w:jc w:val="both"/>
        <w:rPr>
          <w:lang w:val="ca-ES"/>
        </w:rPr>
      </w:pPr>
      <w:r w:rsidRPr="005B2E88">
        <w:rPr>
          <w:lang w:val="ca-ES"/>
        </w:rPr>
        <w:t>Projecte</w:t>
      </w:r>
      <w:r w:rsidRPr="005B2E88">
        <w:rPr>
          <w:spacing w:val="-1"/>
          <w:lang w:val="ca-ES"/>
        </w:rPr>
        <w:t xml:space="preserve"> </w:t>
      </w:r>
      <w:r w:rsidRPr="005B2E88">
        <w:rPr>
          <w:lang w:val="ca-ES"/>
        </w:rPr>
        <w:t>Graner</w:t>
      </w:r>
      <w:r w:rsidRPr="005B2E88">
        <w:rPr>
          <w:lang w:val="ca-ES"/>
        </w:rPr>
        <w:tab/>
      </w:r>
      <w:r>
        <w:rPr>
          <w:lang w:val="ca-ES"/>
        </w:rPr>
        <w:t>4</w:t>
      </w:r>
      <w:r w:rsidRPr="005B2E88">
        <w:rPr>
          <w:spacing w:val="1"/>
          <w:lang w:val="ca-ES"/>
        </w:rPr>
        <w:t xml:space="preserve"> </w:t>
      </w:r>
      <w:r w:rsidRPr="005B2E88">
        <w:rPr>
          <w:lang w:val="ca-ES"/>
        </w:rPr>
        <w:t>lloc</w:t>
      </w:r>
      <w:r>
        <w:rPr>
          <w:lang w:val="ca-ES"/>
        </w:rPr>
        <w:t>s</w:t>
      </w:r>
    </w:p>
    <w:p w14:paraId="2B48B282" w14:textId="77777777" w:rsidR="004A5885" w:rsidRPr="005B2E88" w:rsidRDefault="004A5885" w:rsidP="004A5885">
      <w:pPr>
        <w:numPr>
          <w:ilvl w:val="0"/>
          <w:numId w:val="10"/>
        </w:numPr>
        <w:tabs>
          <w:tab w:val="right" w:leader="dot" w:pos="5670"/>
        </w:tabs>
        <w:spacing w:before="42"/>
        <w:ind w:right="-26"/>
        <w:jc w:val="both"/>
        <w:rPr>
          <w:lang w:val="ca-ES"/>
        </w:rPr>
      </w:pPr>
      <w:r>
        <w:rPr>
          <w:lang w:val="ca-ES"/>
        </w:rPr>
        <w:t>Serveis transversals</w:t>
      </w:r>
      <w:r>
        <w:rPr>
          <w:lang w:val="ca-ES"/>
        </w:rPr>
        <w:tab/>
        <w:t>2 llocs</w:t>
      </w:r>
    </w:p>
    <w:p w14:paraId="1EF4DFBF" w14:textId="77777777" w:rsidR="004A5885" w:rsidRPr="005B2E88" w:rsidRDefault="004A5885" w:rsidP="004A5885">
      <w:pPr>
        <w:numPr>
          <w:ilvl w:val="0"/>
          <w:numId w:val="10"/>
        </w:numPr>
        <w:tabs>
          <w:tab w:val="right" w:leader="dot" w:pos="5670"/>
        </w:tabs>
        <w:spacing w:before="38"/>
        <w:ind w:right="-26"/>
        <w:jc w:val="both"/>
        <w:rPr>
          <w:b/>
          <w:lang w:val="ca-ES"/>
        </w:rPr>
      </w:pPr>
      <w:r w:rsidRPr="005B2E88">
        <w:rPr>
          <w:b/>
          <w:lang w:val="ca-ES"/>
        </w:rPr>
        <w:t>TOTAL</w:t>
      </w:r>
      <w:r w:rsidRPr="005B2E88">
        <w:rPr>
          <w:b/>
          <w:lang w:val="ca-ES"/>
        </w:rPr>
        <w:tab/>
        <w:t>3</w:t>
      </w:r>
      <w:r>
        <w:rPr>
          <w:b/>
          <w:lang w:val="ca-ES"/>
        </w:rPr>
        <w:t>8</w:t>
      </w:r>
      <w:r w:rsidRPr="005B2E88">
        <w:rPr>
          <w:b/>
          <w:spacing w:val="-1"/>
          <w:lang w:val="ca-ES"/>
        </w:rPr>
        <w:t xml:space="preserve"> </w:t>
      </w:r>
      <w:r w:rsidRPr="005B2E88">
        <w:rPr>
          <w:b/>
          <w:lang w:val="ca-ES"/>
        </w:rPr>
        <w:t>LLOCS</w:t>
      </w:r>
    </w:p>
    <w:p w14:paraId="333876E8" w14:textId="77777777" w:rsidR="004A5885" w:rsidRPr="005E404C" w:rsidRDefault="004A5885" w:rsidP="004A5885">
      <w:pPr>
        <w:spacing w:before="8"/>
        <w:ind w:right="-26"/>
        <w:jc w:val="both"/>
        <w:rPr>
          <w:sz w:val="19"/>
          <w:lang w:val="ca-ES"/>
        </w:rPr>
      </w:pPr>
    </w:p>
    <w:p w14:paraId="183677ED" w14:textId="77777777" w:rsidR="004A5885" w:rsidRPr="005E404C" w:rsidRDefault="004A5885" w:rsidP="004A5885">
      <w:pPr>
        <w:spacing w:before="8"/>
        <w:ind w:right="-26"/>
        <w:jc w:val="both"/>
        <w:rPr>
          <w:lang w:val="ca-ES"/>
        </w:rPr>
      </w:pPr>
      <w:r w:rsidRPr="005E404C">
        <w:rPr>
          <w:lang w:val="ca-ES"/>
        </w:rPr>
        <w:t xml:space="preserve">A banda dels </w:t>
      </w:r>
      <w:r>
        <w:rPr>
          <w:lang w:val="ca-ES"/>
        </w:rPr>
        <w:t>llocs definits anteriorment, al Consorci Mercat de les Flors queden dos llocs declarats a extingir, tota vegada que les persones que els ocupen han manifestat interès en acollir-se al cessament progressiu de l’activitat en un calendari proper, i en el moment de fer la proposta de Relació de Llocs de Treball s’ha considerat que tal i com estan definits no són necessaris per a la organització. En el moment en que es faci efectiva la jubilació de les persones que els ocupen, aquets llocs s’extingiran.</w:t>
      </w:r>
    </w:p>
    <w:p w14:paraId="7CA38A2C" w14:textId="77777777" w:rsidR="004A5885" w:rsidRPr="005E404C" w:rsidRDefault="004A5885" w:rsidP="004A5885">
      <w:pPr>
        <w:spacing w:before="8"/>
        <w:ind w:right="-26"/>
        <w:jc w:val="both"/>
        <w:rPr>
          <w:sz w:val="19"/>
          <w:lang w:val="ca-ES"/>
        </w:rPr>
      </w:pPr>
    </w:p>
    <w:p w14:paraId="28F8BA57" w14:textId="77777777" w:rsidR="004A5885" w:rsidRPr="0059229F" w:rsidRDefault="004A5885" w:rsidP="004A5885">
      <w:pPr>
        <w:ind w:right="-26"/>
        <w:jc w:val="both"/>
        <w:rPr>
          <w:lang w:val="ca-ES"/>
        </w:rPr>
      </w:pPr>
      <w:r w:rsidRPr="0059229F">
        <w:rPr>
          <w:lang w:val="ca-ES"/>
        </w:rPr>
        <w:t>Cada un dels llocs està descrit en els següents apartats:</w:t>
      </w:r>
    </w:p>
    <w:p w14:paraId="691154EC" w14:textId="77777777" w:rsidR="004A5885" w:rsidRPr="005B2E88" w:rsidRDefault="004A5885" w:rsidP="004A5885">
      <w:pPr>
        <w:numPr>
          <w:ilvl w:val="0"/>
          <w:numId w:val="12"/>
        </w:numPr>
        <w:tabs>
          <w:tab w:val="left" w:pos="1005"/>
        </w:tabs>
        <w:spacing w:before="120" w:line="276" w:lineRule="auto"/>
        <w:ind w:right="-26"/>
        <w:jc w:val="both"/>
        <w:rPr>
          <w:rFonts w:asciiTheme="minorHAnsi" w:hAnsiTheme="minorHAnsi" w:cstheme="minorHAnsi"/>
          <w:lang w:val="ca-ES"/>
        </w:rPr>
      </w:pPr>
      <w:r w:rsidRPr="005B2E88">
        <w:rPr>
          <w:rFonts w:asciiTheme="minorHAnsi" w:hAnsiTheme="minorHAnsi" w:cstheme="minorHAnsi"/>
          <w:lang w:val="ca-ES"/>
        </w:rPr>
        <w:t>Identificació: nom del lloc, dependència directa, llocs al càrrec, relacions internes i relacions</w:t>
      </w:r>
      <w:r w:rsidRPr="005B2E88">
        <w:rPr>
          <w:rFonts w:asciiTheme="minorHAnsi" w:hAnsiTheme="minorHAnsi" w:cstheme="minorHAnsi"/>
          <w:spacing w:val="-3"/>
          <w:lang w:val="ca-ES"/>
        </w:rPr>
        <w:t xml:space="preserve"> </w:t>
      </w:r>
      <w:r w:rsidRPr="005B2E88">
        <w:rPr>
          <w:rFonts w:asciiTheme="minorHAnsi" w:hAnsiTheme="minorHAnsi" w:cstheme="minorHAnsi"/>
          <w:lang w:val="ca-ES"/>
        </w:rPr>
        <w:t>externes</w:t>
      </w:r>
    </w:p>
    <w:p w14:paraId="58F3E036" w14:textId="77777777" w:rsidR="004A5885" w:rsidRPr="005B2E88" w:rsidRDefault="004A5885" w:rsidP="004A5885">
      <w:pPr>
        <w:numPr>
          <w:ilvl w:val="0"/>
          <w:numId w:val="12"/>
        </w:numPr>
        <w:tabs>
          <w:tab w:val="left" w:pos="1005"/>
        </w:tabs>
        <w:spacing w:line="268" w:lineRule="exact"/>
        <w:ind w:right="-26"/>
        <w:jc w:val="both"/>
        <w:rPr>
          <w:rFonts w:asciiTheme="minorHAnsi" w:hAnsiTheme="minorHAnsi" w:cstheme="minorHAnsi"/>
          <w:lang w:val="ca-ES"/>
        </w:rPr>
      </w:pPr>
      <w:r w:rsidRPr="005B2E88">
        <w:rPr>
          <w:rFonts w:asciiTheme="minorHAnsi" w:hAnsiTheme="minorHAnsi" w:cstheme="minorHAnsi"/>
          <w:lang w:val="ca-ES"/>
        </w:rPr>
        <w:t>Contingut del lloc: missió, competències funcionals i</w:t>
      </w:r>
      <w:r w:rsidRPr="005B2E88">
        <w:rPr>
          <w:rFonts w:asciiTheme="minorHAnsi" w:hAnsiTheme="minorHAnsi" w:cstheme="minorHAnsi"/>
          <w:spacing w:val="-6"/>
          <w:lang w:val="ca-ES"/>
        </w:rPr>
        <w:t xml:space="preserve"> </w:t>
      </w:r>
      <w:r w:rsidRPr="005B2E88">
        <w:rPr>
          <w:rFonts w:asciiTheme="minorHAnsi" w:hAnsiTheme="minorHAnsi" w:cstheme="minorHAnsi"/>
          <w:lang w:val="ca-ES"/>
        </w:rPr>
        <w:t>específiques</w:t>
      </w:r>
    </w:p>
    <w:p w14:paraId="1EED68D6" w14:textId="77777777" w:rsidR="004A5885" w:rsidRPr="005B2E88" w:rsidRDefault="004A5885" w:rsidP="004A5885">
      <w:pPr>
        <w:numPr>
          <w:ilvl w:val="0"/>
          <w:numId w:val="12"/>
        </w:numPr>
        <w:tabs>
          <w:tab w:val="left" w:pos="1005"/>
        </w:tabs>
        <w:spacing w:before="41"/>
        <w:ind w:right="-26"/>
        <w:jc w:val="both"/>
        <w:rPr>
          <w:rFonts w:asciiTheme="minorHAnsi" w:hAnsiTheme="minorHAnsi" w:cstheme="minorHAnsi"/>
          <w:lang w:val="ca-ES"/>
        </w:rPr>
      </w:pPr>
      <w:r w:rsidRPr="005B2E88">
        <w:rPr>
          <w:rFonts w:asciiTheme="minorHAnsi" w:hAnsiTheme="minorHAnsi" w:cstheme="minorHAnsi"/>
          <w:lang w:val="ca-ES"/>
        </w:rPr>
        <w:t>Requeriments: responsabilitat, requisits, mèrits rellevants i altres dades de la</w:t>
      </w:r>
      <w:r w:rsidRPr="005B2E88">
        <w:rPr>
          <w:rFonts w:asciiTheme="minorHAnsi" w:hAnsiTheme="minorHAnsi" w:cstheme="minorHAnsi"/>
          <w:spacing w:val="-14"/>
          <w:lang w:val="ca-ES"/>
        </w:rPr>
        <w:t xml:space="preserve"> </w:t>
      </w:r>
      <w:r w:rsidRPr="005B2E88">
        <w:rPr>
          <w:rFonts w:asciiTheme="minorHAnsi" w:hAnsiTheme="minorHAnsi" w:cstheme="minorHAnsi"/>
          <w:lang w:val="ca-ES"/>
        </w:rPr>
        <w:t>RLT</w:t>
      </w:r>
    </w:p>
    <w:p w14:paraId="14DB9ED4" w14:textId="77777777" w:rsidR="004A5885" w:rsidRPr="0059229F" w:rsidRDefault="004A5885" w:rsidP="004A5885">
      <w:pPr>
        <w:spacing w:before="8"/>
        <w:ind w:right="-26"/>
        <w:jc w:val="both"/>
        <w:rPr>
          <w:sz w:val="19"/>
          <w:lang w:val="ca-ES"/>
        </w:rPr>
      </w:pPr>
    </w:p>
    <w:p w14:paraId="4868F0A0" w14:textId="77777777" w:rsidR="004A5885" w:rsidRDefault="004A5885" w:rsidP="004A5885">
      <w:pPr>
        <w:spacing w:before="1" w:after="120"/>
        <w:ind w:right="-26"/>
        <w:jc w:val="both"/>
        <w:rPr>
          <w:lang w:val="ca-ES"/>
        </w:rPr>
      </w:pPr>
      <w:r w:rsidRPr="0059229F">
        <w:rPr>
          <w:lang w:val="ca-ES"/>
        </w:rPr>
        <w:t>En termes globals, els llocs de treball definits en Consorci respecten les terminologies, categoritzacions i agrupacions que s’estableixen a l’EBEP i categoritzacions pròpies del conveni laboral de l’Ajuntament de Barcelona vigent l’any 20</w:t>
      </w:r>
      <w:r>
        <w:rPr>
          <w:lang w:val="ca-ES"/>
        </w:rPr>
        <w:t>24</w:t>
      </w:r>
      <w:r w:rsidRPr="0059229F">
        <w:rPr>
          <w:lang w:val="ca-ES"/>
        </w:rPr>
        <w:t>.</w:t>
      </w:r>
    </w:p>
    <w:p w14:paraId="7CE3FA25" w14:textId="77777777" w:rsidR="004A5885" w:rsidRPr="0059229F" w:rsidRDefault="004A5885" w:rsidP="004A5885">
      <w:pPr>
        <w:spacing w:before="1" w:after="120"/>
        <w:ind w:right="-28"/>
        <w:jc w:val="both"/>
        <w:rPr>
          <w:lang w:val="ca-ES"/>
        </w:rPr>
      </w:pPr>
      <w:r>
        <w:rPr>
          <w:lang w:val="ca-ES"/>
        </w:rPr>
        <w:t>A nivell retributiu el Consorci Mercat de les Flors aplica les taules vigents a l’annex 4 de l’acord de Relacions Laborals de l’Ajuntament de Barcelona</w:t>
      </w:r>
    </w:p>
    <w:p w14:paraId="51005D58" w14:textId="77777777" w:rsidR="004A5885" w:rsidRDefault="004A5885" w:rsidP="004A5885">
      <w:pPr>
        <w:spacing w:before="120"/>
        <w:ind w:right="-26"/>
        <w:jc w:val="both"/>
        <w:rPr>
          <w:lang w:val="ca-ES"/>
        </w:rPr>
      </w:pPr>
      <w:r>
        <w:rPr>
          <w:lang w:val="ca-ES"/>
        </w:rPr>
        <w:t>L</w:t>
      </w:r>
      <w:r w:rsidRPr="0059229F">
        <w:rPr>
          <w:lang w:val="ca-ES"/>
        </w:rPr>
        <w:t>es correspondències dels diversos nivells de responsabilitat i grups de classificació, i el nivell de titulació requerit s’ordenen de la forma següent:</w:t>
      </w:r>
    </w:p>
    <w:p w14:paraId="1609D535" w14:textId="77777777" w:rsidR="004A5885" w:rsidRDefault="004A5885" w:rsidP="004A5885">
      <w:pPr>
        <w:spacing w:before="120"/>
        <w:ind w:right="-26"/>
        <w:jc w:val="both"/>
        <w:rPr>
          <w:lang w:val="ca-ES"/>
        </w:rPr>
      </w:pPr>
    </w:p>
    <w:p w14:paraId="12451CBC" w14:textId="77777777" w:rsidR="004A5885" w:rsidRDefault="004A5885" w:rsidP="004A5885">
      <w:pPr>
        <w:spacing w:before="120"/>
        <w:ind w:right="-26"/>
        <w:jc w:val="both"/>
        <w:rPr>
          <w:lang w:val="ca-ES"/>
        </w:rPr>
      </w:pPr>
    </w:p>
    <w:p w14:paraId="006C20E8" w14:textId="77777777" w:rsidR="004A5885" w:rsidRDefault="004A5885" w:rsidP="004A5885">
      <w:pPr>
        <w:spacing w:before="120"/>
        <w:ind w:right="-26"/>
        <w:jc w:val="both"/>
        <w:rPr>
          <w:lang w:val="ca-ES"/>
        </w:rPr>
      </w:pPr>
    </w:p>
    <w:tbl>
      <w:tblPr>
        <w:tblStyle w:val="Taulaambquadrcula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993"/>
        <w:gridCol w:w="1280"/>
        <w:gridCol w:w="5528"/>
      </w:tblGrid>
      <w:tr w:rsidR="004A5885" w:rsidRPr="007012F4" w14:paraId="09574033" w14:textId="77777777" w:rsidTr="00D63A44">
        <w:tc>
          <w:tcPr>
            <w:tcW w:w="1129" w:type="dxa"/>
            <w:shd w:val="clear" w:color="auto" w:fill="45B0E1" w:themeFill="accent1" w:themeFillTint="99"/>
            <w:vAlign w:val="center"/>
          </w:tcPr>
          <w:p w14:paraId="4F371822" w14:textId="77777777" w:rsidR="004A5885" w:rsidRPr="007012F4" w:rsidRDefault="004A5885" w:rsidP="00D63A44">
            <w:pPr>
              <w:ind w:right="-28"/>
              <w:jc w:val="center"/>
              <w:rPr>
                <w:b/>
                <w:bCs/>
                <w:color w:val="FFFFFF" w:themeColor="background1"/>
                <w:lang w:val="ca-ES"/>
              </w:rPr>
            </w:pPr>
            <w:r w:rsidRPr="007012F4">
              <w:rPr>
                <w:b/>
                <w:bCs/>
                <w:color w:val="FFFFFF" w:themeColor="background1"/>
                <w:lang w:val="ca-ES"/>
              </w:rPr>
              <w:t>Subgrup</w:t>
            </w:r>
          </w:p>
        </w:tc>
        <w:tc>
          <w:tcPr>
            <w:tcW w:w="993" w:type="dxa"/>
            <w:shd w:val="clear" w:color="auto" w:fill="45B0E1" w:themeFill="accent1" w:themeFillTint="99"/>
            <w:vAlign w:val="center"/>
          </w:tcPr>
          <w:p w14:paraId="0FA59E82" w14:textId="77777777" w:rsidR="004A5885" w:rsidRPr="007012F4" w:rsidRDefault="004A5885" w:rsidP="00D63A44">
            <w:pPr>
              <w:ind w:right="-28"/>
              <w:jc w:val="center"/>
              <w:rPr>
                <w:b/>
                <w:bCs/>
                <w:color w:val="FFFFFF" w:themeColor="background1"/>
                <w:lang w:val="ca-ES"/>
              </w:rPr>
            </w:pPr>
            <w:r w:rsidRPr="007012F4">
              <w:rPr>
                <w:b/>
                <w:bCs/>
                <w:color w:val="FFFFFF" w:themeColor="background1"/>
                <w:lang w:val="ca-ES"/>
              </w:rPr>
              <w:t>Nivell</w:t>
            </w:r>
          </w:p>
        </w:tc>
        <w:tc>
          <w:tcPr>
            <w:tcW w:w="1280" w:type="dxa"/>
            <w:shd w:val="clear" w:color="auto" w:fill="45B0E1" w:themeFill="accent1" w:themeFillTint="99"/>
            <w:vAlign w:val="center"/>
          </w:tcPr>
          <w:p w14:paraId="5FBE8B1C" w14:textId="77777777" w:rsidR="004A5885" w:rsidRPr="007012F4" w:rsidRDefault="004A5885" w:rsidP="00D63A44">
            <w:pPr>
              <w:ind w:right="-28"/>
              <w:jc w:val="center"/>
              <w:rPr>
                <w:b/>
                <w:bCs/>
                <w:color w:val="FFFFFF" w:themeColor="background1"/>
                <w:lang w:val="ca-ES"/>
              </w:rPr>
            </w:pPr>
            <w:r w:rsidRPr="007012F4">
              <w:rPr>
                <w:b/>
                <w:bCs/>
                <w:color w:val="FFFFFF" w:themeColor="background1"/>
                <w:lang w:val="ca-ES"/>
              </w:rPr>
              <w:t>Categoria</w:t>
            </w:r>
          </w:p>
        </w:tc>
        <w:tc>
          <w:tcPr>
            <w:tcW w:w="5528" w:type="dxa"/>
            <w:shd w:val="clear" w:color="auto" w:fill="45B0E1" w:themeFill="accent1" w:themeFillTint="99"/>
            <w:vAlign w:val="center"/>
          </w:tcPr>
          <w:p w14:paraId="2BEB9F9E" w14:textId="77777777" w:rsidR="004A5885" w:rsidRPr="007012F4" w:rsidRDefault="004A5885" w:rsidP="00D63A44">
            <w:pPr>
              <w:ind w:right="-28"/>
              <w:jc w:val="center"/>
              <w:rPr>
                <w:b/>
                <w:bCs/>
                <w:color w:val="FFFFFF" w:themeColor="background1"/>
                <w:lang w:val="ca-ES"/>
              </w:rPr>
            </w:pPr>
            <w:r w:rsidRPr="007012F4">
              <w:rPr>
                <w:b/>
                <w:bCs/>
                <w:color w:val="FFFFFF" w:themeColor="background1"/>
                <w:lang w:val="ca-ES"/>
              </w:rPr>
              <w:t>Titulació</w:t>
            </w:r>
          </w:p>
        </w:tc>
      </w:tr>
      <w:tr w:rsidR="004A5885" w:rsidRPr="003B54BD" w14:paraId="18E8BFC7" w14:textId="77777777" w:rsidTr="00D63A44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346A929" w14:textId="77777777" w:rsidR="004A5885" w:rsidRPr="007012F4" w:rsidRDefault="004A5885" w:rsidP="00D63A44">
            <w:pPr>
              <w:ind w:right="-28"/>
              <w:jc w:val="center"/>
              <w:rPr>
                <w:lang w:val="ca-ES"/>
              </w:rPr>
            </w:pPr>
            <w:r w:rsidRPr="007012F4">
              <w:rPr>
                <w:lang w:val="ca-ES"/>
              </w:rPr>
              <w:t>A1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8D4726B" w14:textId="77777777" w:rsidR="004A5885" w:rsidRPr="007012F4" w:rsidRDefault="004A5885" w:rsidP="00D63A44">
            <w:pPr>
              <w:ind w:right="-28"/>
              <w:rPr>
                <w:lang w:val="ca-ES"/>
              </w:rPr>
            </w:pPr>
            <w:r w:rsidRPr="007012F4">
              <w:rPr>
                <w:lang w:val="ca-ES"/>
              </w:rPr>
              <w:t>22 a 28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14:paraId="09365BB3" w14:textId="77777777" w:rsidR="004A5885" w:rsidRPr="007012F4" w:rsidRDefault="004A5885" w:rsidP="00D63A44">
            <w:pPr>
              <w:ind w:right="-28"/>
              <w:jc w:val="center"/>
              <w:rPr>
                <w:lang w:val="ca-ES"/>
              </w:rPr>
            </w:pPr>
            <w:r w:rsidRPr="007012F4">
              <w:rPr>
                <w:lang w:val="ca-ES"/>
              </w:rPr>
              <w:t>Tècnic superior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5689A01" w14:textId="77777777" w:rsidR="004A5885" w:rsidRPr="007012F4" w:rsidRDefault="004A5885" w:rsidP="00D63A44">
            <w:pPr>
              <w:ind w:right="-28"/>
              <w:rPr>
                <w:lang w:val="ca-ES"/>
              </w:rPr>
            </w:pPr>
            <w:r w:rsidRPr="007012F4">
              <w:rPr>
                <w:lang w:val="ca-ES"/>
              </w:rPr>
              <w:t>Doctorat, o titulació universitària de grau, enginyeria superior o arquitectura</w:t>
            </w:r>
          </w:p>
        </w:tc>
      </w:tr>
      <w:tr w:rsidR="004A5885" w:rsidRPr="003B54BD" w14:paraId="7D647B1B" w14:textId="77777777" w:rsidTr="00D63A44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1FD9A" w14:textId="77777777" w:rsidR="004A5885" w:rsidRPr="007012F4" w:rsidRDefault="004A5885" w:rsidP="00D63A44">
            <w:pPr>
              <w:ind w:right="-28"/>
              <w:jc w:val="center"/>
              <w:rPr>
                <w:lang w:val="ca-ES"/>
              </w:rPr>
            </w:pPr>
            <w:r w:rsidRPr="007012F4">
              <w:rPr>
                <w:lang w:val="ca-ES"/>
              </w:rPr>
              <w:t>A2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ABB49" w14:textId="77777777" w:rsidR="004A5885" w:rsidRPr="007012F4" w:rsidRDefault="004A5885" w:rsidP="00D63A44">
            <w:pPr>
              <w:ind w:right="-28"/>
              <w:rPr>
                <w:lang w:val="ca-ES"/>
              </w:rPr>
            </w:pPr>
            <w:r w:rsidRPr="007012F4">
              <w:rPr>
                <w:lang w:val="ca-ES"/>
              </w:rPr>
              <w:t>18 a 22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BE28" w14:textId="77777777" w:rsidR="004A5885" w:rsidRPr="007012F4" w:rsidRDefault="004A5885" w:rsidP="00D63A44">
            <w:pPr>
              <w:ind w:right="-28"/>
              <w:jc w:val="center"/>
              <w:rPr>
                <w:lang w:val="ca-ES"/>
              </w:rPr>
            </w:pPr>
            <w:r w:rsidRPr="007012F4">
              <w:rPr>
                <w:lang w:val="ca-ES"/>
              </w:rPr>
              <w:t>Tècnic mig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EC7D2" w14:textId="77777777" w:rsidR="004A5885" w:rsidRPr="007012F4" w:rsidRDefault="004A5885" w:rsidP="00D63A44">
            <w:pPr>
              <w:ind w:right="-28"/>
              <w:rPr>
                <w:lang w:val="ca-ES"/>
              </w:rPr>
            </w:pPr>
            <w:r w:rsidRPr="007012F4">
              <w:rPr>
                <w:lang w:val="ca-ES"/>
              </w:rPr>
              <w:t>Titulació universitària de grau, enginyeria tècnica o arquitectura tècnica</w:t>
            </w:r>
          </w:p>
        </w:tc>
      </w:tr>
      <w:tr w:rsidR="004A5885" w:rsidRPr="003B54BD" w14:paraId="1EF90109" w14:textId="77777777" w:rsidTr="00D63A44">
        <w:trPr>
          <w:trHeight w:val="533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3C761" w14:textId="77777777" w:rsidR="004A5885" w:rsidRPr="007012F4" w:rsidRDefault="004A5885" w:rsidP="00D63A44">
            <w:pPr>
              <w:ind w:right="-28"/>
              <w:jc w:val="center"/>
              <w:rPr>
                <w:lang w:val="ca-ES"/>
              </w:rPr>
            </w:pPr>
            <w:r w:rsidRPr="007012F4">
              <w:rPr>
                <w:lang w:val="ca-ES"/>
              </w:rPr>
              <w:t>C1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47E6C" w14:textId="77777777" w:rsidR="004A5885" w:rsidRPr="007012F4" w:rsidRDefault="004A5885" w:rsidP="00D63A44">
            <w:pPr>
              <w:ind w:right="-28"/>
              <w:rPr>
                <w:lang w:val="ca-ES"/>
              </w:rPr>
            </w:pPr>
            <w:r w:rsidRPr="007012F4">
              <w:rPr>
                <w:lang w:val="ca-ES"/>
              </w:rPr>
              <w:t>16 a 22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2D931" w14:textId="77777777" w:rsidR="004A5885" w:rsidRPr="007012F4" w:rsidRDefault="004A5885" w:rsidP="00D63A44">
            <w:pPr>
              <w:ind w:right="-28"/>
              <w:jc w:val="center"/>
              <w:rPr>
                <w:lang w:val="ca-ES"/>
              </w:rPr>
            </w:pPr>
            <w:r w:rsidRPr="007012F4">
              <w:rPr>
                <w:lang w:val="ca-ES"/>
              </w:rPr>
              <w:t>Tècnic auxiliar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2EC1E" w14:textId="77777777" w:rsidR="004A5885" w:rsidRPr="007012F4" w:rsidRDefault="004A5885" w:rsidP="00D63A44">
            <w:pPr>
              <w:ind w:right="-28"/>
              <w:rPr>
                <w:lang w:val="ca-ES"/>
              </w:rPr>
            </w:pPr>
            <w:r w:rsidRPr="007012F4">
              <w:rPr>
                <w:lang w:val="ca-ES"/>
              </w:rPr>
              <w:t>Batxillerat, FP segon grau o cicle formatiu de grau mitjà</w:t>
            </w:r>
          </w:p>
        </w:tc>
      </w:tr>
      <w:tr w:rsidR="004A5885" w:rsidRPr="003B54BD" w14:paraId="29991775" w14:textId="77777777" w:rsidTr="00D63A44">
        <w:trPr>
          <w:trHeight w:val="533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96A58" w14:textId="77777777" w:rsidR="004A5885" w:rsidRPr="007012F4" w:rsidRDefault="004A5885" w:rsidP="00D63A44">
            <w:pPr>
              <w:ind w:right="-28"/>
              <w:jc w:val="center"/>
              <w:rPr>
                <w:lang w:val="ca-ES"/>
              </w:rPr>
            </w:pPr>
            <w:r>
              <w:rPr>
                <w:lang w:val="ca-ES"/>
              </w:rPr>
              <w:t>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19506" w14:textId="77777777" w:rsidR="004A5885" w:rsidRPr="007012F4" w:rsidRDefault="004A5885" w:rsidP="00D63A44">
            <w:pPr>
              <w:ind w:right="-28"/>
              <w:rPr>
                <w:lang w:val="ca-ES"/>
              </w:rPr>
            </w:pPr>
            <w:r>
              <w:rPr>
                <w:lang w:val="ca-ES"/>
              </w:rPr>
              <w:t>12 a 14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EE5F7" w14:textId="77777777" w:rsidR="004A5885" w:rsidRPr="007012F4" w:rsidRDefault="004A5885" w:rsidP="00D63A44">
            <w:pPr>
              <w:ind w:right="-28"/>
              <w:jc w:val="center"/>
              <w:rPr>
                <w:lang w:val="ca-ES"/>
              </w:rPr>
            </w:pPr>
            <w:r>
              <w:rPr>
                <w:lang w:val="ca-ES"/>
              </w:rPr>
              <w:t>Subaltern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90606" w14:textId="77777777" w:rsidR="004A5885" w:rsidRPr="007012F4" w:rsidRDefault="004A5885" w:rsidP="00D63A44">
            <w:pPr>
              <w:ind w:right="-28"/>
              <w:rPr>
                <w:lang w:val="ca-ES"/>
              </w:rPr>
            </w:pPr>
            <w:r>
              <w:rPr>
                <w:lang w:val="ca-ES"/>
              </w:rPr>
              <w:t>Estudis primaris, graduat escolar o FP de Primer Grau</w:t>
            </w:r>
          </w:p>
        </w:tc>
      </w:tr>
    </w:tbl>
    <w:p w14:paraId="71259FF8" w14:textId="77777777" w:rsidR="004A5885" w:rsidRPr="0059229F" w:rsidRDefault="004A5885" w:rsidP="004A5885">
      <w:pPr>
        <w:ind w:right="-26"/>
        <w:rPr>
          <w:lang w:val="ca-ES"/>
        </w:rPr>
        <w:sectPr w:rsidR="004A5885" w:rsidRPr="0059229F" w:rsidSect="004A5885">
          <w:headerReference w:type="default" r:id="rId11"/>
          <w:footerReference w:type="default" r:id="rId12"/>
          <w:pgSz w:w="11910" w:h="16840"/>
          <w:pgMar w:top="2100" w:right="1562" w:bottom="1560" w:left="2127" w:header="776" w:footer="0" w:gutter="0"/>
          <w:cols w:space="708"/>
          <w:docGrid w:linePitch="299"/>
        </w:sectPr>
      </w:pPr>
    </w:p>
    <w:p w14:paraId="4B76DD56" w14:textId="77777777" w:rsidR="004A5885" w:rsidRPr="00F4755D" w:rsidRDefault="004A5885" w:rsidP="004A5885">
      <w:pPr>
        <w:pStyle w:val="Ttol7"/>
        <w:numPr>
          <w:ilvl w:val="0"/>
          <w:numId w:val="9"/>
        </w:numPr>
        <w:tabs>
          <w:tab w:val="left" w:pos="8813"/>
        </w:tabs>
        <w:ind w:left="1276" w:right="510" w:hanging="567"/>
        <w:rPr>
          <w:color w:val="C00000"/>
          <w:sz w:val="36"/>
          <w:szCs w:val="36"/>
          <w:lang w:val="ca-ES"/>
        </w:rPr>
      </w:pPr>
      <w:r w:rsidRPr="00F4755D">
        <w:rPr>
          <w:color w:val="C00000"/>
          <w:sz w:val="36"/>
          <w:szCs w:val="36"/>
          <w:lang w:val="ca-ES"/>
        </w:rPr>
        <w:lastRenderedPageBreak/>
        <w:t xml:space="preserve">Relació de llocs de treball – </w:t>
      </w:r>
      <w:r>
        <w:rPr>
          <w:color w:val="C00000"/>
          <w:sz w:val="36"/>
          <w:szCs w:val="36"/>
          <w:lang w:val="ca-ES"/>
        </w:rPr>
        <w:t>Quadre de dotacions</w:t>
      </w:r>
    </w:p>
    <w:p w14:paraId="2A1609FB" w14:textId="77777777" w:rsidR="004A5885" w:rsidRPr="00F4755D" w:rsidRDefault="004A5885" w:rsidP="004A5885">
      <w:pPr>
        <w:spacing w:before="2"/>
        <w:ind w:left="758"/>
        <w:rPr>
          <w:rFonts w:ascii="Garamond" w:hAnsi="Garamond"/>
          <w:b/>
          <w:sz w:val="12"/>
          <w:szCs w:val="8"/>
          <w:lang w:val="es-ES"/>
        </w:rPr>
      </w:pPr>
    </w:p>
    <w:p w14:paraId="2A899E94" w14:textId="77777777" w:rsidR="004A5885" w:rsidRPr="00CF40DC" w:rsidRDefault="004A5885" w:rsidP="004A5885">
      <w:pPr>
        <w:spacing w:before="9" w:after="1"/>
        <w:rPr>
          <w:rFonts w:ascii="Garamond"/>
          <w:b/>
          <w:sz w:val="18"/>
          <w:lang w:val="es-ES"/>
        </w:rPr>
      </w:pPr>
    </w:p>
    <w:tbl>
      <w:tblPr>
        <w:tblW w:w="136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1385"/>
        <w:gridCol w:w="1300"/>
        <w:gridCol w:w="2240"/>
        <w:gridCol w:w="873"/>
        <w:gridCol w:w="673"/>
        <w:gridCol w:w="659"/>
        <w:gridCol w:w="587"/>
        <w:gridCol w:w="1180"/>
        <w:gridCol w:w="781"/>
        <w:gridCol w:w="873"/>
        <w:gridCol w:w="736"/>
        <w:gridCol w:w="1480"/>
      </w:tblGrid>
      <w:tr w:rsidR="004A5885" w:rsidRPr="00F4755D" w14:paraId="1796F537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7C9556A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ID DOTACIÓ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082B0C8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DEPARTAMENT / SERVEI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768D780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CODI LLOC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2C42999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DENOMINACIÓ LLOC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120AB87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SUBGRUP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405407D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VINCLE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72BED0E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CDESTÍ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1D60EE0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CESPF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2A997B8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CIRCUMST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5D23FDB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TELE- TREBALL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48C87CD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JORNADA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4E6A228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HORARI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0D0D0"/>
            <w:vAlign w:val="center"/>
            <w:hideMark/>
          </w:tcPr>
          <w:p w14:paraId="58BAF6B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SISTEMA PROVISIÓ</w:t>
            </w:r>
          </w:p>
        </w:tc>
      </w:tr>
      <w:tr w:rsidR="004A5885" w:rsidRPr="00F4755D" w14:paraId="641B1EDF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549FDB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8E8E8"/>
            <w:noWrap/>
            <w:vAlign w:val="center"/>
            <w:hideMark/>
          </w:tcPr>
          <w:p w14:paraId="529670C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DIRECCIÓ</w:t>
            </w:r>
          </w:p>
        </w:tc>
        <w:tc>
          <w:tcPr>
            <w:tcW w:w="35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71575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Lloc estatutari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7305E4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9E84B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48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D564B0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Alta direcció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28930A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Lliure designació</w:t>
            </w:r>
          </w:p>
        </w:tc>
      </w:tr>
      <w:tr w:rsidR="004A5885" w:rsidRPr="00F4755D" w14:paraId="33B55667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7C4C6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noWrap/>
            <w:vAlign w:val="center"/>
            <w:hideMark/>
          </w:tcPr>
          <w:p w14:paraId="5E8C9BE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DIRECCIÓ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46EB6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26FAXCCCD01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2C29900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Cap de departament 26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E747E1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A1/A2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617656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A99B06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10472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40.10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86EC8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5032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F2BC6F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D7CAAB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Plena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2AF6A6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92E05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405127EE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EC07D5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9F8"/>
            <w:vAlign w:val="center"/>
            <w:hideMark/>
          </w:tcPr>
          <w:p w14:paraId="499651B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COMUNICACIÓ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6C9E02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24FAXCCCD01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9A81520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Cap de departament 24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3F3CE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A1/A2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50F257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1CC94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86379F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40.20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B4B079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5032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70212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B4861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Plena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89380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336972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365ADD8C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75A5D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9F8"/>
            <w:vAlign w:val="center"/>
            <w:hideMark/>
          </w:tcPr>
          <w:p w14:paraId="3068BEF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COMUNICACIÓ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71EB1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22FA2SCCA01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655568E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 xml:space="preserve">T. </w:t>
            </w:r>
            <w:proofErr w:type="spellStart"/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Qualif</w:t>
            </w:r>
            <w:proofErr w:type="spellEnd"/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. de Comunicació i Atenció Ciutadana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2E6671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C0CDD1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8A234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279357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F05C13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D16B4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0CC9D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A861D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EBF924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53F24DFA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6F2091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9F8"/>
            <w:vAlign w:val="center"/>
            <w:hideMark/>
          </w:tcPr>
          <w:p w14:paraId="1E53B14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COMUNICACIÓ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C4457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20FA2BIBA01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3AA8057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Gestor/a d'Administració General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0A385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21087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4DF44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5A0183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CE9F9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6CD765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41C59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D451CF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75595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630D967D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A6602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9F8"/>
            <w:vAlign w:val="center"/>
            <w:hideMark/>
          </w:tcPr>
          <w:p w14:paraId="36C3034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COMUNICACIÓ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613EC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20FA2BIBA01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B1B0BC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Gestor/a d'Administració General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D5D35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41AAA6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E07B81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92E043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563FB0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5242 / 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A342E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D4A19F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ED208B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AA5507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39DC79A9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53136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9F8"/>
            <w:vAlign w:val="center"/>
            <w:hideMark/>
          </w:tcPr>
          <w:p w14:paraId="5D1C0FA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COMUNICACIÓ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91BDE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18FCXSCSC05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2F3C42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Administratiu/iva qualificat/da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12774A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B44D1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FD69C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D0DB8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781AB4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49453E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962A21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7F17E3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684A5E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148676DE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A3428D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9F8"/>
            <w:vAlign w:val="center"/>
            <w:hideMark/>
          </w:tcPr>
          <w:p w14:paraId="1E0F1E1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COMUNICACIÓ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02205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18FCXSCSC05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DA0589D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Administratiu/iva qualificat/da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746E2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B2B66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0C0D9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715B7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3CE3A9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9A9CD2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23124E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612E1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3244C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06A7544A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58AE8E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9F8"/>
            <w:vAlign w:val="center"/>
            <w:hideMark/>
          </w:tcPr>
          <w:p w14:paraId="3D16DAD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COMUNICACIÓ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D61E8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18FCXSCSC05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5F0D1F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Administratiu/iva qualificat/da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687287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274A2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54582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C629B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33BBDE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5F03D9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770C4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1E5AB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8A889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2A407FD7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C59544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BE2D5"/>
            <w:vAlign w:val="center"/>
            <w:hideMark/>
          </w:tcPr>
          <w:p w14:paraId="6A0306E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CONTINGUTS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2BAC7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22FA1BIBA07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84636A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Tècnic superior de Gestió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E6C1F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7ABB5C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169BB6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0485BE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F9965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5032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C08512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61E3A0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Plena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A612B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28B1F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7B659FB6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775219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BE2D5"/>
            <w:vAlign w:val="center"/>
            <w:hideMark/>
          </w:tcPr>
          <w:p w14:paraId="33975AF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CONTINGUTS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089111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20FA2BIBA01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618004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Gestor/a d'Administració General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878D91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F2C432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1A2C0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717ED1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BEFA8E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5032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4308BE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574D84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Plena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E9A7CE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7B5901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66AB6FB8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AD15C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BE2D5"/>
            <w:vAlign w:val="center"/>
            <w:hideMark/>
          </w:tcPr>
          <w:p w14:paraId="7F288B1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CONTINGUTS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16BF1F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18FCXSCSC05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2EE5C1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Administratiu/iva qualificat/da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330E01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51207C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C06DC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41208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89806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310EE4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B92E0D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C9061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FB02E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7A8861C3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E9E63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1F0C8"/>
            <w:vAlign w:val="center"/>
            <w:hideMark/>
          </w:tcPr>
          <w:p w14:paraId="7D30EBC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D1DC1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24FAXCCCD01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F4BA52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Cap de departament  24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9C811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A1/A2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11ADD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460FE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DDF19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40.20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8AA07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5032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3B21C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8C287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Plena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8134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0936C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41D9BAB4" w14:textId="77777777" w:rsidTr="00D63A44">
        <w:trPr>
          <w:trHeight w:val="489"/>
          <w:jc w:val="center"/>
        </w:trPr>
        <w:tc>
          <w:tcPr>
            <w:tcW w:w="83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D1B696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lastRenderedPageBreak/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7FA68BA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34932B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22FC1CCCD01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2C037B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 xml:space="preserve">Cap de secció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8E4D7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F3EA88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D3CB7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30485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50.20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54752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5244 / 5202 / 5032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1FE69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DECF6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Plena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BC78F7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D6A08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37CA3AC4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DC6CC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1B46AD0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695E2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20FA2BIBA01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4DF23B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Gestor/a d'Administració General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352A92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52F71A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2776D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0632C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D5CF2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782DF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787EB5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5C52A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4DAC52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46EACD8D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43D439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1D58237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55A45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20FA2BIBA01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8E46BE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Gestor/a d'Administració General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E3CB62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A24A27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A78FD1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E92BAD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E17AA1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E6281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49C3F4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935B4C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662D7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5FC875E0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8DC713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7BF0206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617C59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20FC1SCSC10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041849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 especialitzat en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D24679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8A7A34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22F282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23CF0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6C9691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D0E69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2A8C1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F4D1D6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6DEA7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7165B2A3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85EF76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5E45186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C540C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18LCXSCSC02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9527EE2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qualificat/da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CDAA29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9BF8F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CABA0B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410C5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D82E4E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5244 / 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95665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82DB7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2A13E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749B30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696F2300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582FFA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6D96FEB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4B58F4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18LCXSCSC02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446CC58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qualificat/da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1A2A3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5D2E03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F176F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6D2C9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55187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98651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66C32A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DFE2B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B09939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6C367AC9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79EA49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4C1E37A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E4933D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18LCXSCSC02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55BD55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qualificat/da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94D28A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1CEF5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17060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4EBBD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6881E2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5244 / 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F8FD0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10E1D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B4FA8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CFCE05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6FD5901F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11586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1179F43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999DD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18LCXSCSC02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648521A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qualificat/da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82723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659EE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78E9AE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D866B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E9E83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5244 / 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47EE02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6ACF6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A4618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3EB5E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7F8A18B3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F06E55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7699A3B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2A33E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16LCXSCSC01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158347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59FF5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4A6014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8AE12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EB44C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BAF41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5244 / 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033EA9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BC0FA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3B06CB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248023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38869F44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FE27C9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5ED3A15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E0C49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16LCXSCSC01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E2D416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EF13F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ADD47D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618DE0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30AF98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1480D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5244 / 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9FCA8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529011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1BD91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63823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1BC1256D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98CB2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43B6234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75518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16LCXSCSC01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C4D0D3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8C1E6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775F5A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35F05E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71514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947974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5244 / 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A84AA5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E8769C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F2BF0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A975C6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613101BE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BC5950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F0C8"/>
            <w:vAlign w:val="center"/>
            <w:hideMark/>
          </w:tcPr>
          <w:p w14:paraId="45F3CE0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PRODUCCIÓ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33556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16LCXSCSC01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D613EF8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6B97A0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48C02E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A589BB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45A3A5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7D997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5244 / 5202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752CF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74BE00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4DEE2A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5AB218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6A9E476E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1CB27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CEEF"/>
            <w:vAlign w:val="center"/>
            <w:hideMark/>
          </w:tcPr>
          <w:p w14:paraId="57F81E6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ADMINISTRACIÓ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4B4449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24FAXCCCD01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B74A03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Cap de departament 24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C9F3F0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A1/A2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42367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30CA0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C4257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40.20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DF4BC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5032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56B1EE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98D8FA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Plena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CD170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4F8DF6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710ACDC5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52733D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CEEF"/>
            <w:vAlign w:val="center"/>
            <w:hideMark/>
          </w:tcPr>
          <w:p w14:paraId="5BFC494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ADMINISTRACIÓ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894B70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22FA1BIBA15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C3F9B1A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Tècnic/a Superior en dret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F2E40F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7E00D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8F3272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331BDF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525CF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0C44EB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0C68C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51C206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153E7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5E7D67B3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84FDA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CEEF"/>
            <w:vAlign w:val="center"/>
            <w:hideMark/>
          </w:tcPr>
          <w:p w14:paraId="77037F2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ADMINISTRACIÓ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32D23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22FA2SCEC01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B66A8F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Tècnic/a qualificat/da de serveis econ. i tributaris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22B1B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09659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8A579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4E6B7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7D452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D3380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19EB6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683CA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EBF75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5C74A126" w14:textId="77777777" w:rsidTr="00D63A44">
        <w:trPr>
          <w:trHeight w:val="489"/>
          <w:jc w:val="center"/>
        </w:trPr>
        <w:tc>
          <w:tcPr>
            <w:tcW w:w="83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0031B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lastRenderedPageBreak/>
              <w:t>29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CEEF"/>
            <w:vAlign w:val="center"/>
            <w:hideMark/>
          </w:tcPr>
          <w:p w14:paraId="7E8024B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ADMINISTRACIÓ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50CE47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18FCXSCSC05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A5390B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 qualificat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8A1AF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03A140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1F529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B15DD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2694D1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BFDC6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7771BD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74827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BEDEC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21905556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57257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CEEF"/>
            <w:vAlign w:val="center"/>
            <w:hideMark/>
          </w:tcPr>
          <w:p w14:paraId="074621D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ADMINISTRACIÓ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88C675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16FCXSCSC06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64F864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Administratiu/iva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599E19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713EF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28902F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D43007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E74B29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DF30B1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FE385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6C4558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511A91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2A5DC42D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267B6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CEEF"/>
            <w:vAlign w:val="center"/>
            <w:hideMark/>
          </w:tcPr>
          <w:p w14:paraId="1458792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ADMINISTRACIÓ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2DA8F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16FCXSCSC06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FB8AC20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Administratiu/iva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B04D0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886B8C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36B00C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09E0E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5050AF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D83009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5BAB70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0BC83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A0D46B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6C0910F3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A3BBDF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CEEF"/>
            <w:vAlign w:val="center"/>
            <w:hideMark/>
          </w:tcPr>
          <w:p w14:paraId="10F2F7A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ADMINISTRACIÓ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414B75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16FCXSCSC06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CA3203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Administratiu/iva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ED79C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D65953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D1A5B9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3865F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9AC210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7BC5C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65F8B5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A720C0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437C6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0591DF44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2DC32B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D0D0"/>
            <w:vAlign w:val="center"/>
            <w:hideMark/>
          </w:tcPr>
          <w:p w14:paraId="44915FE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RECURSOS HUMANS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1821B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22FA1BIBA07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D14CCE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Tècnic superior de gestió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87C5BF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E015F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0B7E11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9436EA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AF8A5B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FABF1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81AC2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B5082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A060F9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244FECD2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82EF66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D0D0"/>
            <w:noWrap/>
            <w:vAlign w:val="center"/>
            <w:hideMark/>
          </w:tcPr>
          <w:p w14:paraId="4CAF272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MANTENIMENT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7CFDC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22FA2SCAE02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42148A9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Tècnic/a qualificat/da d'enginyeria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ED553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AEBB07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EDDC52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E0858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6EDC7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0C8DF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0AEC9D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82352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A3D7F7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6268113B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93D000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243771F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GRANER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E1C3E5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18LCXSCSC02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906421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qualificat/da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A5DF54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97232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2C1C6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D4B879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59CBD2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912A96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BFA0C3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B3897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CADCB9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5997BC2F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D69F93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758BC68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GRANER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4CA87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20FC1SCSC10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E80C0A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 especialitzat en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A22AC8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F42A40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9B24E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E306D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8A089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77B82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9E0BEA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00057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DF2B9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59CCCBB4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1B34B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07C2EC1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GRANER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BE7CF0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18FCXSCSC05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6FDFA82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Administratiu/iva qualificat/da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8804B8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DF69D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ED36F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462D9A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F45BF4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1C7E32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63343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D6763A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2823F8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3BE50722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0AF9D2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38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0C2D773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GRANER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743C88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16LCXSCSC01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70E8CB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Auxiliar de producció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9F6FF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C1/C2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B98184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E712D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FCA6F7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90.40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421F16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36F4D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85B3EE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F88441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A8CD9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Concurs</w:t>
            </w:r>
          </w:p>
        </w:tc>
      </w:tr>
      <w:tr w:rsidR="004A5885" w:rsidRPr="00F4755D" w14:paraId="30EAF316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F69E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FD3B5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9B77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F7172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004DF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7AC6B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E2A56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AF831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02634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6476C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ECC5B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29BE6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37C0D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F4755D" w14:paraId="1D308832" w14:textId="77777777" w:rsidTr="00D63A44">
        <w:trPr>
          <w:trHeight w:val="488"/>
          <w:jc w:val="center"/>
        </w:trPr>
        <w:tc>
          <w:tcPr>
            <w:tcW w:w="352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07C7047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F4755D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LLOCS DECLARATS A EXTINGIR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C331B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14816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72D17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B99A12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84D0B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04613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D030A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A44F9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4FEB4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C1363" w14:textId="77777777" w:rsidR="004A5885" w:rsidRPr="00F4755D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F4755D" w14:paraId="47A723E1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9E5A7B9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6061F0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COMUNICACIÓ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E9A0615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22FA1BIBA12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5E841ED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Tècnic/a Superior d'informació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A35E2F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050C43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F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585664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B26168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B4F868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4E9E32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BB586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D3B6B7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95A9FD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  <w:tr w:rsidR="004A5885" w:rsidRPr="00F4755D" w14:paraId="04668F20" w14:textId="77777777" w:rsidTr="00D63A44">
        <w:trPr>
          <w:trHeight w:val="488"/>
          <w:jc w:val="center"/>
        </w:trPr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1847D3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88868B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b/>
                <w:bCs/>
                <w:color w:val="000000"/>
                <w:sz w:val="18"/>
                <w:szCs w:val="18"/>
                <w:lang w:val="ca-ES" w:eastAsia="ca-ES"/>
              </w:rPr>
              <w:t>CONTINGUTS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26AA2C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22FA1BIBA05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5B2477" w14:textId="77777777" w:rsidR="004A5885" w:rsidRPr="00F4755D" w:rsidRDefault="004A5885" w:rsidP="00D63A44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 xml:space="preserve">Tècnic/a superior art i història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592B1D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A1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7BD38F4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13EDD27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3B70C51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80.30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0604F86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9D7A82F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Si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5C117B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175F92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18"/>
                <w:szCs w:val="18"/>
                <w:lang w:val="ca-ES" w:eastAsia="ca-ES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FBA2D3E" w14:textId="77777777" w:rsidR="004A5885" w:rsidRPr="00F4755D" w:rsidRDefault="004A5885" w:rsidP="00D63A4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</w:pPr>
            <w:r w:rsidRPr="00F4755D">
              <w:rPr>
                <w:rFonts w:eastAsia="Times New Roman"/>
                <w:color w:val="000000"/>
                <w:sz w:val="20"/>
                <w:szCs w:val="20"/>
                <w:lang w:val="ca-ES" w:eastAsia="ca-ES"/>
              </w:rPr>
              <w:t>Adscripció inicial</w:t>
            </w:r>
          </w:p>
        </w:tc>
      </w:tr>
    </w:tbl>
    <w:p w14:paraId="6D8D6BCE" w14:textId="77777777" w:rsidR="004A5885" w:rsidRDefault="004A5885" w:rsidP="004A5885">
      <w:pPr>
        <w:spacing w:line="199" w:lineRule="exact"/>
        <w:jc w:val="center"/>
        <w:rPr>
          <w:sz w:val="18"/>
        </w:rPr>
        <w:sectPr w:rsidR="004A5885" w:rsidSect="004A5885">
          <w:footerReference w:type="default" r:id="rId13"/>
          <w:pgSz w:w="16840" w:h="11910" w:orient="landscape"/>
          <w:pgMar w:top="2694" w:right="460" w:bottom="1135" w:left="660" w:header="776" w:footer="0" w:gutter="0"/>
          <w:cols w:space="708"/>
        </w:sectPr>
      </w:pPr>
    </w:p>
    <w:p w14:paraId="15D05B58" w14:textId="77777777" w:rsidR="004A5885" w:rsidRDefault="004A5885" w:rsidP="004A5885">
      <w:pPr>
        <w:jc w:val="center"/>
        <w:rPr>
          <w:rFonts w:ascii="Times New Roman"/>
          <w:sz w:val="14"/>
        </w:rPr>
      </w:pPr>
    </w:p>
    <w:p w14:paraId="754CEE8C" w14:textId="77777777" w:rsidR="004A5885" w:rsidRDefault="004A5885" w:rsidP="004A5885">
      <w:pPr>
        <w:spacing w:before="2"/>
        <w:rPr>
          <w:rFonts w:ascii="Garamond" w:hAnsi="Garamond"/>
          <w:b/>
          <w:color w:val="C00000"/>
          <w:sz w:val="26"/>
          <w:lang w:val="es-ES"/>
        </w:rPr>
      </w:pPr>
      <w:r>
        <w:rPr>
          <w:rFonts w:ascii="Garamond" w:hAnsi="Garamond"/>
          <w:b/>
          <w:color w:val="C00000"/>
          <w:sz w:val="26"/>
          <w:lang w:val="es-ES"/>
        </w:rPr>
        <w:t>PLANTILLA PRESSUPOSTÀRIA</w:t>
      </w:r>
    </w:p>
    <w:p w14:paraId="236857D0" w14:textId="77777777" w:rsidR="004A5885" w:rsidRDefault="004A5885" w:rsidP="004A5885">
      <w:pPr>
        <w:spacing w:before="171"/>
        <w:ind w:right="-26"/>
        <w:jc w:val="both"/>
        <w:rPr>
          <w:lang w:val="ca-ES"/>
        </w:rPr>
      </w:pPr>
      <w:r>
        <w:rPr>
          <w:lang w:val="ca-ES"/>
        </w:rPr>
        <w:t>Els efectius amb els que compta el Consorci per a la realització de les tasques assignades tenen la composició següent:</w:t>
      </w:r>
    </w:p>
    <w:p w14:paraId="74FD9037" w14:textId="77777777" w:rsidR="004A5885" w:rsidRDefault="004A5885" w:rsidP="004A5885">
      <w:pPr>
        <w:spacing w:before="171"/>
        <w:ind w:right="-26"/>
        <w:jc w:val="both"/>
        <w:rPr>
          <w:lang w:val="ca-ES"/>
        </w:rPr>
      </w:pPr>
    </w:p>
    <w:p w14:paraId="3E927D06" w14:textId="77777777" w:rsidR="004A5885" w:rsidRDefault="004A5885" w:rsidP="004A5885">
      <w:pPr>
        <w:spacing w:before="171"/>
        <w:ind w:right="-26" w:firstLine="307"/>
        <w:jc w:val="both"/>
        <w:rPr>
          <w:lang w:val="ca-ES"/>
        </w:rPr>
      </w:pPr>
    </w:p>
    <w:tbl>
      <w:tblPr>
        <w:tblW w:w="7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920"/>
        <w:gridCol w:w="680"/>
        <w:gridCol w:w="1040"/>
        <w:gridCol w:w="1040"/>
      </w:tblGrid>
      <w:tr w:rsidR="004A5885" w:rsidRPr="000C13AF" w14:paraId="2550BD48" w14:textId="77777777" w:rsidTr="00D63A44">
        <w:trPr>
          <w:trHeight w:val="600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D33084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Codi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F8E98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Categoria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24CFD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Grup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4744FA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Plantilla 2025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82DEFAE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Plantilla 2026</w:t>
            </w:r>
          </w:p>
        </w:tc>
      </w:tr>
      <w:tr w:rsidR="004A5885" w:rsidRPr="000C13AF" w14:paraId="458193CD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A292E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AA220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A8C5B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733A8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5A18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216ABB7E" w14:textId="77777777" w:rsidTr="00D63A44">
        <w:trPr>
          <w:trHeight w:val="300"/>
          <w:jc w:val="center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FF352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Escala d'Administració General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64E14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E456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A89F0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3BB1EF11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A79BA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1010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0A3493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Tècnica d'Administració General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8FB103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86901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1538213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2</w:t>
            </w:r>
          </w:p>
        </w:tc>
      </w:tr>
      <w:tr w:rsidR="004A5885" w:rsidRPr="000C13AF" w14:paraId="5ECC8B54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2D22B0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1020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9886AA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Gestió d'Administració General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730198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111C42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675C32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8</w:t>
            </w:r>
          </w:p>
        </w:tc>
      </w:tr>
      <w:tr w:rsidR="004A5885" w:rsidRPr="000C13AF" w14:paraId="4AAB4E4E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09FF63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1050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976C0E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Subaltern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192EEC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2A0BC4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B125DF5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</w:tr>
      <w:tr w:rsidR="004A5885" w:rsidRPr="000C13AF" w14:paraId="724AB68D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E7D90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EDC4E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67D97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D013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48262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7DCB8D1D" w14:textId="77777777" w:rsidTr="00D63A44">
        <w:trPr>
          <w:trHeight w:val="300"/>
          <w:jc w:val="center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A2DF8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Escala d'Administració Especial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D2488E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631A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C7544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647005ED" w14:textId="77777777" w:rsidTr="00D63A44">
        <w:trPr>
          <w:trHeight w:val="300"/>
          <w:jc w:val="center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18275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  <w:t>Classe de tècnics superiors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266BCA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20172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E3CD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297DC179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A0336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2310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E1F719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TS Art i Història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D168C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AC728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1B28AA6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</w:tr>
      <w:tr w:rsidR="004A5885" w:rsidRPr="000C13AF" w14:paraId="2E596106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73F72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2610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DD75D8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TS Informació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FEE824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1C6C8A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C7CE492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</w:tr>
      <w:tr w:rsidR="004A5885" w:rsidRPr="000C13AF" w14:paraId="3FF26DB1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EBEE8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2710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2BB373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TS Dret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9011E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0B9D9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4A8849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1</w:t>
            </w:r>
          </w:p>
        </w:tc>
      </w:tr>
      <w:tr w:rsidR="004A5885" w:rsidRPr="000C13AF" w14:paraId="76FCE5D6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66EFEC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2711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0F1BA8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TS Gestió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A4DD9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D5B05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BDBB6B4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3</w:t>
            </w:r>
          </w:p>
        </w:tc>
      </w:tr>
      <w:tr w:rsidR="004A5885" w:rsidRPr="000C13AF" w14:paraId="1F1D1E45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0A49C3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BCA3F8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Alta Direcció (Director/a)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EB2AAC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D0F08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1A9834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1</w:t>
            </w:r>
          </w:p>
        </w:tc>
      </w:tr>
      <w:tr w:rsidR="004A5885" w:rsidRPr="000C13AF" w14:paraId="242CB037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1F05B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C5192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21812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22FB3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CB29C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7FF34995" w14:textId="77777777" w:rsidTr="00D63A44">
        <w:trPr>
          <w:trHeight w:val="300"/>
          <w:jc w:val="center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0E188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  <w:t>Classe de tècnics mitjans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8F70C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A5CA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05B1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2840E313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5ADD3B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E5DCE7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TM en Art i Història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5853CB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9396B3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408FF8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</w:tr>
      <w:tr w:rsidR="004A5885" w:rsidRPr="000C13AF" w14:paraId="4686C610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540660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856CBD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TM Enginyeria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A95CA8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549C9C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C08BEA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1</w:t>
            </w:r>
          </w:p>
        </w:tc>
      </w:tr>
      <w:tr w:rsidR="004A5885" w:rsidRPr="000C13AF" w14:paraId="55BA280F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932E6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26849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7A458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8860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BA8D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454EDFC3" w14:textId="77777777" w:rsidTr="00D63A44">
        <w:trPr>
          <w:trHeight w:val="300"/>
          <w:jc w:val="center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FB85D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  <w:t>Classe de tècnics auxiliars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0BDB9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i/>
                <w:iCs/>
                <w:color w:val="00000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B384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BB07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44391648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EB1DB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DF180C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TA d'Administració especial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AA4AD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C1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06FD90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33A7221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</w:tr>
      <w:tr w:rsidR="004A5885" w:rsidRPr="000C13AF" w14:paraId="4F2988FF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18AE22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DD305C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TA en Institucions Culturals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950360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C1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AF5E6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3C672A8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19</w:t>
            </w:r>
          </w:p>
        </w:tc>
      </w:tr>
      <w:tr w:rsidR="004A5885" w:rsidRPr="000C13AF" w14:paraId="3A88EFC2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79830B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A4FFC1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Administratius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F4893F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C1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421293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CCF5F53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3</w:t>
            </w:r>
          </w:p>
        </w:tc>
      </w:tr>
      <w:tr w:rsidR="004A5885" w:rsidRPr="000C13AF" w14:paraId="4FB5F7A0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2C204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9D372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1748A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0877B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A601D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ca-ES" w:eastAsia="ca-ES"/>
              </w:rPr>
            </w:pPr>
          </w:p>
        </w:tc>
      </w:tr>
      <w:tr w:rsidR="004A5885" w:rsidRPr="000C13AF" w14:paraId="4B78DC7B" w14:textId="77777777" w:rsidTr="00D63A44">
        <w:trPr>
          <w:trHeight w:val="30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2E98CB8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4C82F49" w14:textId="77777777" w:rsidR="004A5885" w:rsidRPr="000C13AF" w:rsidRDefault="004A5885" w:rsidP="00D63A44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TOTAL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ECABF17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3119858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0E2A48" w14:textId="77777777" w:rsidR="004A5885" w:rsidRPr="000C13AF" w:rsidRDefault="004A5885" w:rsidP="00D63A44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</w:pPr>
            <w:r w:rsidRPr="000C13AF">
              <w:rPr>
                <w:rFonts w:ascii="Aptos Narrow" w:eastAsia="Times New Roman" w:hAnsi="Aptos Narrow" w:cs="Times New Roman"/>
                <w:b/>
                <w:bCs/>
                <w:color w:val="000000"/>
                <w:lang w:val="ca-ES" w:eastAsia="ca-ES"/>
              </w:rPr>
              <w:t>38</w:t>
            </w:r>
          </w:p>
        </w:tc>
      </w:tr>
    </w:tbl>
    <w:p w14:paraId="76AF29BB" w14:textId="77777777" w:rsidR="004A5885" w:rsidRPr="00A1165A" w:rsidRDefault="004A5885" w:rsidP="004A5885">
      <w:pPr>
        <w:rPr>
          <w:lang w:val="ca-ES"/>
        </w:rPr>
      </w:pPr>
    </w:p>
    <w:p w14:paraId="3CE661BF" w14:textId="441C515A" w:rsidR="004A5885" w:rsidRDefault="004A5885">
      <w:pPr>
        <w:widowControl/>
        <w:autoSpaceDE/>
        <w:autoSpaceDN/>
        <w:spacing w:after="160" w:line="259" w:lineRule="auto"/>
        <w:rPr>
          <w:lang w:val="ca-ES"/>
        </w:rPr>
      </w:pPr>
      <w:r>
        <w:rPr>
          <w:lang w:val="ca-ES"/>
        </w:rPr>
        <w:br w:type="page"/>
      </w:r>
    </w:p>
    <w:p w14:paraId="256267A7" w14:textId="3051FD24" w:rsidR="008C1DD6" w:rsidRPr="00B36258" w:rsidRDefault="008C1DD6" w:rsidP="008C1DD6">
      <w:pPr>
        <w:tabs>
          <w:tab w:val="left" w:pos="1143"/>
        </w:tabs>
        <w:spacing w:before="88"/>
        <w:rPr>
          <w:rFonts w:ascii="Century Gothic" w:hAnsi="Century Gothic"/>
          <w:sz w:val="36"/>
          <w:lang w:val="ca-ES"/>
        </w:rPr>
      </w:pPr>
      <w:r>
        <w:rPr>
          <w:rFonts w:ascii="Century Gothic" w:hAnsi="Century Gothic"/>
          <w:color w:val="C00000"/>
          <w:sz w:val="36"/>
          <w:u w:val="single" w:color="FCDBDB"/>
          <w:lang w:val="ca-ES"/>
        </w:rPr>
        <w:lastRenderedPageBreak/>
        <w:t>Annex d’inversions</w:t>
      </w:r>
      <w:r w:rsidRPr="00B36258">
        <w:rPr>
          <w:rFonts w:ascii="Century Gothic" w:hAnsi="Century Gothic"/>
          <w:color w:val="C00000"/>
          <w:spacing w:val="-23"/>
          <w:sz w:val="36"/>
          <w:u w:val="single" w:color="FCDBDB"/>
          <w:lang w:val="ca-ES"/>
        </w:rPr>
        <w:t xml:space="preserve"> </w:t>
      </w:r>
    </w:p>
    <w:p w14:paraId="329D5FD3" w14:textId="77777777" w:rsidR="008C1DD6" w:rsidRDefault="008C1DD6" w:rsidP="008C1DD6">
      <w:pPr>
        <w:spacing w:after="120"/>
        <w:ind w:left="708" w:hanging="708"/>
        <w:jc w:val="both"/>
        <w:rPr>
          <w:lang w:val="ca-ES"/>
        </w:rPr>
      </w:pPr>
    </w:p>
    <w:p w14:paraId="49AAD494" w14:textId="502AD1AF" w:rsidR="000C37ED" w:rsidRPr="000C37ED" w:rsidRDefault="000C37ED" w:rsidP="000C37ED">
      <w:pPr>
        <w:spacing w:after="120"/>
        <w:jc w:val="both"/>
        <w:rPr>
          <w:lang w:val="ca-ES"/>
        </w:rPr>
      </w:pPr>
      <w:r w:rsidRPr="000C37ED">
        <w:rPr>
          <w:lang w:val="ca-ES"/>
        </w:rPr>
        <w:t xml:space="preserve">Un cop </w:t>
      </w:r>
      <w:r>
        <w:rPr>
          <w:lang w:val="ca-ES"/>
        </w:rPr>
        <w:t>acabada al</w:t>
      </w:r>
      <w:r w:rsidRPr="000C37ED">
        <w:rPr>
          <w:lang w:val="ca-ES"/>
        </w:rPr>
        <w:t xml:space="preserve"> 2024 la primera part de les obres a l’edifici del Mercat de les Flors, corresponent en aquest cas a la part denominada “Ala Nord” (que correspon a la nova entrada a l’edifici, incloent la construcció d’un espai polivalent per a activitats de dimensions petites), en el transcurs de l’exercici 2025 al Mercat de les Flors </w:t>
      </w:r>
      <w:r>
        <w:rPr>
          <w:lang w:val="ca-ES"/>
        </w:rPr>
        <w:t>es realitza</w:t>
      </w:r>
      <w:r w:rsidRPr="000C37ED">
        <w:rPr>
          <w:lang w:val="ca-ES"/>
        </w:rPr>
        <w:t xml:space="preserve"> la part més destacada del que hem denominat “Primera fase del pla director d’obres” </w:t>
      </w:r>
    </w:p>
    <w:p w14:paraId="39AA0C34" w14:textId="77777777" w:rsidR="000C37ED" w:rsidRPr="000C37ED" w:rsidRDefault="000C37ED" w:rsidP="000C37ED">
      <w:pPr>
        <w:spacing w:after="120"/>
        <w:jc w:val="both"/>
        <w:rPr>
          <w:lang w:val="ca-ES"/>
        </w:rPr>
      </w:pPr>
      <w:r w:rsidRPr="000C37ED">
        <w:rPr>
          <w:lang w:val="ca-ES"/>
        </w:rPr>
        <w:t xml:space="preserve">El Pla Director d’Obres del Mercat de les Flors inclou el conjunt d’inversions necessàries a l’edifici per a poder funcionar plenament com a Casa de Dansa, en tots els seus àmbits. </w:t>
      </w:r>
    </w:p>
    <w:p w14:paraId="4BA309F2" w14:textId="77777777" w:rsidR="000C37ED" w:rsidRPr="000C37ED" w:rsidRDefault="000C37ED" w:rsidP="000C37ED">
      <w:pPr>
        <w:spacing w:after="120"/>
        <w:jc w:val="both"/>
        <w:rPr>
          <w:lang w:val="ca-ES"/>
        </w:rPr>
      </w:pPr>
      <w:r w:rsidRPr="000C37ED">
        <w:rPr>
          <w:lang w:val="ca-ES"/>
        </w:rPr>
        <w:t xml:space="preserve">Aquest pla d’inversions inicialment cobria el període 2022-2029 i un pressupost de 9M€. </w:t>
      </w:r>
    </w:p>
    <w:p w14:paraId="1052B43E" w14:textId="48C167B3" w:rsidR="008C1DD6" w:rsidRDefault="000C37ED" w:rsidP="000C37ED">
      <w:pPr>
        <w:spacing w:after="120"/>
        <w:jc w:val="both"/>
        <w:rPr>
          <w:lang w:val="ca-ES"/>
        </w:rPr>
      </w:pPr>
      <w:r w:rsidRPr="000C37ED">
        <w:rPr>
          <w:lang w:val="ca-ES"/>
        </w:rPr>
        <w:t xml:space="preserve">Condicionat per la seva envergadura i durada s’ha fet la proposta a les administracions que correspon fer les aportacions per fer-ho possible, de partir el projecte en dues fases, és a dir una primera part cobriria el 2022-2025 i es centraria en la part dels accessos al teatre, oficines, clima d’aquesta part de l’edifici, instal·lacions i espais de creació artística, i de 2026 a 2029 una segona fase d’obres afectaria a la part de sales d’exhibició, especialment la sala MAC, incloent rehabilitació teulada, clima de la sala gran i un magatzem a soterrani.  </w:t>
      </w:r>
    </w:p>
    <w:p w14:paraId="5708F675" w14:textId="15BB0908" w:rsidR="000C37ED" w:rsidRDefault="000C37ED" w:rsidP="000C37ED">
      <w:pPr>
        <w:spacing w:after="120"/>
        <w:jc w:val="both"/>
        <w:rPr>
          <w:lang w:val="ca-ES"/>
        </w:rPr>
      </w:pPr>
      <w:r w:rsidRPr="000C37ED">
        <w:rPr>
          <w:lang w:val="ca-ES"/>
        </w:rPr>
        <w:t xml:space="preserve">Aquesta primera fase del Pla Director d’Obres del Mercat de les Flors es finança amb la proporció definida als estatuts del Consorci (Ajuntament de Barcelona el 60%, Generalitat de Catalunya al 40%) </w:t>
      </w:r>
    </w:p>
    <w:p w14:paraId="770BA649" w14:textId="22E60997" w:rsidR="000C37ED" w:rsidRPr="00B8030B" w:rsidRDefault="000C37ED" w:rsidP="000C37ED">
      <w:pPr>
        <w:spacing w:after="120"/>
        <w:jc w:val="both"/>
        <w:rPr>
          <w:lang w:val="ca-ES"/>
        </w:rPr>
      </w:pPr>
      <w:r>
        <w:rPr>
          <w:lang w:val="ca-ES"/>
        </w:rPr>
        <w:t xml:space="preserve">En relació a </w:t>
      </w:r>
      <w:r w:rsidRPr="00B8030B">
        <w:rPr>
          <w:lang w:val="ca-ES"/>
        </w:rPr>
        <w:t xml:space="preserve">l’aportació </w:t>
      </w:r>
      <w:r>
        <w:rPr>
          <w:lang w:val="ca-ES"/>
        </w:rPr>
        <w:t xml:space="preserve">de </w:t>
      </w:r>
      <w:r>
        <w:rPr>
          <w:u w:val="single"/>
          <w:lang w:val="ca-ES"/>
        </w:rPr>
        <w:t>C</w:t>
      </w:r>
      <w:r w:rsidRPr="00BF2311">
        <w:rPr>
          <w:u w:val="single"/>
          <w:lang w:val="ca-ES"/>
        </w:rPr>
        <w:t>apítol 7</w:t>
      </w:r>
      <w:r>
        <w:rPr>
          <w:lang w:val="ca-ES"/>
        </w:rPr>
        <w:t xml:space="preserve"> </w:t>
      </w:r>
      <w:r w:rsidRPr="00B8030B">
        <w:rPr>
          <w:lang w:val="ca-ES"/>
        </w:rPr>
        <w:t>per a inversions</w:t>
      </w:r>
      <w:r>
        <w:rPr>
          <w:lang w:val="ca-ES"/>
        </w:rPr>
        <w:t xml:space="preserve">, </w:t>
      </w:r>
      <w:r w:rsidRPr="00B8030B">
        <w:rPr>
          <w:lang w:val="ca-ES"/>
        </w:rPr>
        <w:t xml:space="preserve">la Generalitat de Catalunya </w:t>
      </w:r>
      <w:r>
        <w:rPr>
          <w:lang w:val="ca-ES"/>
        </w:rPr>
        <w:t xml:space="preserve">va aprovar </w:t>
      </w:r>
      <w:r w:rsidRPr="00B8030B">
        <w:rPr>
          <w:lang w:val="ca-ES"/>
        </w:rPr>
        <w:t xml:space="preserve">mitjançant conveni pluriennal </w:t>
      </w:r>
      <w:r>
        <w:rPr>
          <w:lang w:val="ca-ES"/>
        </w:rPr>
        <w:t>e</w:t>
      </w:r>
      <w:r w:rsidRPr="00B8030B">
        <w:rPr>
          <w:lang w:val="ca-ES"/>
        </w:rPr>
        <w:t>l finançament de les obres de remodelació del Mercat de les Flors, que a l’exercici 202</w:t>
      </w:r>
      <w:r>
        <w:rPr>
          <w:lang w:val="ca-ES"/>
        </w:rPr>
        <w:t>6</w:t>
      </w:r>
      <w:r w:rsidRPr="00B8030B">
        <w:rPr>
          <w:lang w:val="ca-ES"/>
        </w:rPr>
        <w:t xml:space="preserve"> es quantifica en </w:t>
      </w:r>
      <w:r>
        <w:rPr>
          <w:lang w:val="ca-ES"/>
        </w:rPr>
        <w:t>1.049.845,00</w:t>
      </w:r>
      <w:r w:rsidRPr="00B8030B">
        <w:rPr>
          <w:lang w:val="ca-ES"/>
        </w:rPr>
        <w:t xml:space="preserve">€. </w:t>
      </w:r>
    </w:p>
    <w:p w14:paraId="14F743F8" w14:textId="77777777" w:rsidR="000C37ED" w:rsidRDefault="000C37ED" w:rsidP="000C37ED">
      <w:pPr>
        <w:spacing w:after="120"/>
        <w:jc w:val="both"/>
        <w:rPr>
          <w:lang w:val="ca-ES"/>
        </w:rPr>
      </w:pPr>
      <w:r w:rsidRPr="00B8030B">
        <w:rPr>
          <w:lang w:val="ca-ES"/>
        </w:rPr>
        <w:t>L’aportació a 202</w:t>
      </w:r>
      <w:r>
        <w:rPr>
          <w:lang w:val="ca-ES"/>
        </w:rPr>
        <w:t>6</w:t>
      </w:r>
      <w:r w:rsidRPr="00B8030B">
        <w:rPr>
          <w:lang w:val="ca-ES"/>
        </w:rPr>
        <w:t xml:space="preserve"> de la part de finançament d’obres que li correspon a l’Ajuntament de Barcelona es tramita mitjançant PIM (Pla d’Inversions Municipal), i no es vehicula a través del pressupost del Consorci</w:t>
      </w:r>
    </w:p>
    <w:p w14:paraId="658E3558" w14:textId="77777777" w:rsidR="000C37ED" w:rsidRDefault="000C37ED" w:rsidP="000C37ED">
      <w:pPr>
        <w:spacing w:after="120"/>
        <w:jc w:val="both"/>
        <w:rPr>
          <w:lang w:val="ca-ES"/>
        </w:rPr>
      </w:pPr>
      <w:r w:rsidRPr="000C37ED">
        <w:rPr>
          <w:lang w:val="ca-ES"/>
        </w:rPr>
        <w:t>Les aportacions precedents no executades s’incorporaran  al pressupost com a generacions de crèdit afectades a aquest projecte, i els compromisos a futur s’aniran incorporant en els exercicis que correspongui</w:t>
      </w:r>
    </w:p>
    <w:p w14:paraId="07C53D62" w14:textId="77777777" w:rsidR="000C37ED" w:rsidRDefault="000C37ED" w:rsidP="000C37ED">
      <w:pPr>
        <w:spacing w:after="120"/>
        <w:jc w:val="both"/>
        <w:rPr>
          <w:lang w:val="ca-ES"/>
        </w:rPr>
      </w:pPr>
    </w:p>
    <w:bookmarkEnd w:id="0"/>
    <w:sectPr w:rsidR="000C37ED" w:rsidSect="00B8030B">
      <w:pgSz w:w="11906" w:h="16838"/>
      <w:pgMar w:top="326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138F4" w14:textId="77777777" w:rsidR="00B8030B" w:rsidRDefault="00B8030B" w:rsidP="00B8030B">
      <w:r>
        <w:separator/>
      </w:r>
    </w:p>
  </w:endnote>
  <w:endnote w:type="continuationSeparator" w:id="0">
    <w:p w14:paraId="6A6D7196" w14:textId="77777777" w:rsidR="00B8030B" w:rsidRDefault="00B8030B" w:rsidP="00B8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A1D5" w14:textId="77777777" w:rsidR="004A5885" w:rsidRDefault="004A5885">
    <w:pPr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CF9FE" w14:textId="77777777" w:rsidR="004A5885" w:rsidRDefault="004A5885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B017C" w14:textId="77777777" w:rsidR="00B8030B" w:rsidRDefault="00B8030B" w:rsidP="00B8030B">
      <w:r>
        <w:separator/>
      </w:r>
    </w:p>
  </w:footnote>
  <w:footnote w:type="continuationSeparator" w:id="0">
    <w:p w14:paraId="2DF4AC3C" w14:textId="77777777" w:rsidR="00B8030B" w:rsidRDefault="00B8030B" w:rsidP="00B80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E0D8B" w14:textId="3A2BBDD4" w:rsidR="00B8030B" w:rsidRDefault="00B8030B" w:rsidP="00B8030B">
    <w:pPr>
      <w:pStyle w:val="Capalera"/>
      <w:ind w:left="-142"/>
    </w:pPr>
    <w:r>
      <w:rPr>
        <w:noProof/>
        <w14:ligatures w14:val="standardContextual"/>
      </w:rPr>
      <w:drawing>
        <wp:inline distT="0" distB="0" distL="0" distR="0" wp14:anchorId="3B1E52DF" wp14:editId="11DB5357">
          <wp:extent cx="1673352" cy="1386840"/>
          <wp:effectExtent l="0" t="0" r="3175" b="3810"/>
          <wp:docPr id="2051555377" name="Imatge 1" descr="Imatge que conté text, Font, cercle, Gràfics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681242" name="Imatge 1" descr="Imatge que conté text, Font, cercle, Gràfics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352" cy="1386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DCFA" w14:textId="77777777" w:rsidR="004A5885" w:rsidRPr="00B4343D" w:rsidRDefault="004A5885" w:rsidP="00DE7C74">
    <w:pPr>
      <w:tabs>
        <w:tab w:val="left" w:pos="1995"/>
        <w:tab w:val="right" w:pos="14742"/>
      </w:tabs>
      <w:ind w:right="116"/>
    </w:pPr>
    <w:bookmarkStart w:id="1" w:name="_Hlk147333326"/>
    <w:bookmarkStart w:id="2" w:name="_Hlk147333327"/>
    <w:r>
      <w:rPr>
        <w:noProof/>
      </w:rPr>
      <w:drawing>
        <wp:inline distT="0" distB="0" distL="0" distR="0" wp14:anchorId="0953C8BF" wp14:editId="6E48FAEF">
          <wp:extent cx="1131014" cy="937260"/>
          <wp:effectExtent l="0" t="0" r="0" b="0"/>
          <wp:docPr id="1854230790" name="Imagen 1854230790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5260133" name="Imagen 1905260133" descr="Icon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293" cy="941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Exp. F24 - 270</w:t>
    </w:r>
  </w:p>
  <w:bookmarkEnd w:id="1"/>
  <w:bookmarkEnd w:id="2"/>
  <w:p w14:paraId="258A27FB" w14:textId="77777777" w:rsidR="004A5885" w:rsidRDefault="004A5885">
    <w:pPr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44B"/>
    <w:multiLevelType w:val="hybridMultilevel"/>
    <w:tmpl w:val="252452D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96FE0"/>
    <w:multiLevelType w:val="hybridMultilevel"/>
    <w:tmpl w:val="458A1404"/>
    <w:lvl w:ilvl="0" w:tplc="1C623780">
      <w:start w:val="2"/>
      <w:numFmt w:val="decimal"/>
      <w:lvlText w:val="%1."/>
      <w:lvlJc w:val="left"/>
      <w:pPr>
        <w:ind w:left="402" w:hanging="401"/>
      </w:pPr>
      <w:rPr>
        <w:rFonts w:ascii="Century Gothic" w:eastAsia="Century Gothic" w:hAnsi="Century Gothic" w:cs="Century Gothic" w:hint="default"/>
        <w:color w:val="C00000"/>
        <w:spacing w:val="-1"/>
        <w:w w:val="99"/>
        <w:sz w:val="36"/>
        <w:szCs w:val="36"/>
        <w:u w:val="single" w:color="FCDBDB"/>
      </w:rPr>
    </w:lvl>
    <w:lvl w:ilvl="1" w:tplc="86F256FE">
      <w:numFmt w:val="bullet"/>
      <w:lvlText w:val="•"/>
      <w:lvlJc w:val="left"/>
      <w:pPr>
        <w:ind w:left="1284" w:hanging="401"/>
      </w:pPr>
      <w:rPr>
        <w:rFonts w:hint="default"/>
      </w:rPr>
    </w:lvl>
    <w:lvl w:ilvl="2" w:tplc="E98883A6">
      <w:numFmt w:val="bullet"/>
      <w:lvlText w:val="•"/>
      <w:lvlJc w:val="left"/>
      <w:pPr>
        <w:ind w:left="2169" w:hanging="401"/>
      </w:pPr>
      <w:rPr>
        <w:rFonts w:hint="default"/>
      </w:rPr>
    </w:lvl>
    <w:lvl w:ilvl="3" w:tplc="1CA68B14">
      <w:numFmt w:val="bullet"/>
      <w:lvlText w:val="•"/>
      <w:lvlJc w:val="left"/>
      <w:pPr>
        <w:ind w:left="3053" w:hanging="401"/>
      </w:pPr>
      <w:rPr>
        <w:rFonts w:hint="default"/>
      </w:rPr>
    </w:lvl>
    <w:lvl w:ilvl="4" w:tplc="F0409194">
      <w:numFmt w:val="bullet"/>
      <w:lvlText w:val="•"/>
      <w:lvlJc w:val="left"/>
      <w:pPr>
        <w:ind w:left="3938" w:hanging="401"/>
      </w:pPr>
      <w:rPr>
        <w:rFonts w:hint="default"/>
      </w:rPr>
    </w:lvl>
    <w:lvl w:ilvl="5" w:tplc="85CC7CDA">
      <w:numFmt w:val="bullet"/>
      <w:lvlText w:val="•"/>
      <w:lvlJc w:val="left"/>
      <w:pPr>
        <w:ind w:left="4823" w:hanging="401"/>
      </w:pPr>
      <w:rPr>
        <w:rFonts w:hint="default"/>
      </w:rPr>
    </w:lvl>
    <w:lvl w:ilvl="6" w:tplc="324C0442">
      <w:numFmt w:val="bullet"/>
      <w:lvlText w:val="•"/>
      <w:lvlJc w:val="left"/>
      <w:pPr>
        <w:ind w:left="5707" w:hanging="401"/>
      </w:pPr>
      <w:rPr>
        <w:rFonts w:hint="default"/>
      </w:rPr>
    </w:lvl>
    <w:lvl w:ilvl="7" w:tplc="AE4E9660">
      <w:numFmt w:val="bullet"/>
      <w:lvlText w:val="•"/>
      <w:lvlJc w:val="left"/>
      <w:pPr>
        <w:ind w:left="6592" w:hanging="401"/>
      </w:pPr>
      <w:rPr>
        <w:rFonts w:hint="default"/>
      </w:rPr>
    </w:lvl>
    <w:lvl w:ilvl="8" w:tplc="6E5C4450">
      <w:numFmt w:val="bullet"/>
      <w:lvlText w:val="•"/>
      <w:lvlJc w:val="left"/>
      <w:pPr>
        <w:ind w:left="7477" w:hanging="401"/>
      </w:pPr>
      <w:rPr>
        <w:rFonts w:hint="default"/>
      </w:rPr>
    </w:lvl>
  </w:abstractNum>
  <w:abstractNum w:abstractNumId="2" w15:restartNumberingAfterBreak="0">
    <w:nsid w:val="27F93EF0"/>
    <w:multiLevelType w:val="hybridMultilevel"/>
    <w:tmpl w:val="5FEA0C7C"/>
    <w:lvl w:ilvl="0" w:tplc="782C9D84">
      <w:start w:val="2"/>
      <w:numFmt w:val="decimal"/>
      <w:lvlText w:val="%1-"/>
      <w:lvlJc w:val="left"/>
      <w:pPr>
        <w:ind w:left="1080" w:hanging="108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1C4EDA"/>
    <w:multiLevelType w:val="hybridMultilevel"/>
    <w:tmpl w:val="957C40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018A7"/>
    <w:multiLevelType w:val="hybridMultilevel"/>
    <w:tmpl w:val="E796215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309B6"/>
    <w:multiLevelType w:val="hybridMultilevel"/>
    <w:tmpl w:val="62D296F2"/>
    <w:lvl w:ilvl="0" w:tplc="4CBE7716">
      <w:start w:val="1"/>
      <w:numFmt w:val="decimal"/>
      <w:lvlText w:val="%1."/>
      <w:lvlJc w:val="left"/>
      <w:pPr>
        <w:ind w:left="402" w:hanging="401"/>
      </w:pPr>
      <w:rPr>
        <w:rFonts w:ascii="Century Gothic" w:eastAsia="Century Gothic" w:hAnsi="Century Gothic" w:cs="Century Gothic" w:hint="default"/>
        <w:color w:val="C00000"/>
        <w:spacing w:val="-1"/>
        <w:w w:val="99"/>
        <w:sz w:val="36"/>
        <w:szCs w:val="36"/>
        <w:u w:val="none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F4F4E"/>
    <w:multiLevelType w:val="hybridMultilevel"/>
    <w:tmpl w:val="2F86B840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83F6D9F"/>
    <w:multiLevelType w:val="hybridMultilevel"/>
    <w:tmpl w:val="B6E879BC"/>
    <w:lvl w:ilvl="0" w:tplc="4CBE7716">
      <w:start w:val="1"/>
      <w:numFmt w:val="decimal"/>
      <w:lvlText w:val="%1."/>
      <w:lvlJc w:val="left"/>
      <w:pPr>
        <w:ind w:left="402" w:hanging="401"/>
      </w:pPr>
      <w:rPr>
        <w:rFonts w:ascii="Century Gothic" w:eastAsia="Century Gothic" w:hAnsi="Century Gothic" w:cs="Century Gothic" w:hint="default"/>
        <w:color w:val="C00000"/>
        <w:spacing w:val="-1"/>
        <w:w w:val="99"/>
        <w:sz w:val="36"/>
        <w:szCs w:val="36"/>
        <w:u w:val="none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A6D32"/>
    <w:multiLevelType w:val="hybridMultilevel"/>
    <w:tmpl w:val="EAC2B9DA"/>
    <w:lvl w:ilvl="0" w:tplc="0403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520F4E80"/>
    <w:multiLevelType w:val="hybridMultilevel"/>
    <w:tmpl w:val="8E225268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BE4416"/>
    <w:multiLevelType w:val="hybridMultilevel"/>
    <w:tmpl w:val="6C14B342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001CC3"/>
    <w:multiLevelType w:val="hybridMultilevel"/>
    <w:tmpl w:val="3E408DE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938997">
    <w:abstractNumId w:val="2"/>
  </w:num>
  <w:num w:numId="2" w16cid:durableId="1649944660">
    <w:abstractNumId w:val="1"/>
  </w:num>
  <w:num w:numId="3" w16cid:durableId="876624019">
    <w:abstractNumId w:val="10"/>
  </w:num>
  <w:num w:numId="4" w16cid:durableId="1792632419">
    <w:abstractNumId w:val="9"/>
  </w:num>
  <w:num w:numId="5" w16cid:durableId="646520058">
    <w:abstractNumId w:val="11"/>
  </w:num>
  <w:num w:numId="6" w16cid:durableId="544871782">
    <w:abstractNumId w:val="3"/>
  </w:num>
  <w:num w:numId="7" w16cid:durableId="928582644">
    <w:abstractNumId w:val="4"/>
  </w:num>
  <w:num w:numId="8" w16cid:durableId="1147667710">
    <w:abstractNumId w:val="0"/>
  </w:num>
  <w:num w:numId="9" w16cid:durableId="1621649989">
    <w:abstractNumId w:val="5"/>
  </w:num>
  <w:num w:numId="10" w16cid:durableId="1304459797">
    <w:abstractNumId w:val="6"/>
  </w:num>
  <w:num w:numId="11" w16cid:durableId="166214799">
    <w:abstractNumId w:val="7"/>
  </w:num>
  <w:num w:numId="12" w16cid:durableId="1971334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75"/>
    <w:rsid w:val="00023A22"/>
    <w:rsid w:val="0002533C"/>
    <w:rsid w:val="00082058"/>
    <w:rsid w:val="00083B93"/>
    <w:rsid w:val="000B1B9B"/>
    <w:rsid w:val="000C37ED"/>
    <w:rsid w:val="00120FE6"/>
    <w:rsid w:val="001921F1"/>
    <w:rsid w:val="001A62CC"/>
    <w:rsid w:val="00225EFC"/>
    <w:rsid w:val="00231AD1"/>
    <w:rsid w:val="00251FB1"/>
    <w:rsid w:val="002666D2"/>
    <w:rsid w:val="00293567"/>
    <w:rsid w:val="002D497C"/>
    <w:rsid w:val="002E2CEC"/>
    <w:rsid w:val="00352116"/>
    <w:rsid w:val="00371997"/>
    <w:rsid w:val="003734A6"/>
    <w:rsid w:val="003B54BD"/>
    <w:rsid w:val="004A5885"/>
    <w:rsid w:val="004D4C08"/>
    <w:rsid w:val="00501650"/>
    <w:rsid w:val="00543B6E"/>
    <w:rsid w:val="00584060"/>
    <w:rsid w:val="005C1548"/>
    <w:rsid w:val="005C1E31"/>
    <w:rsid w:val="005E2249"/>
    <w:rsid w:val="00600768"/>
    <w:rsid w:val="00660FAC"/>
    <w:rsid w:val="00666C74"/>
    <w:rsid w:val="007502D8"/>
    <w:rsid w:val="007F366C"/>
    <w:rsid w:val="00856DC1"/>
    <w:rsid w:val="008C1DD6"/>
    <w:rsid w:val="00942EB8"/>
    <w:rsid w:val="00950A64"/>
    <w:rsid w:val="009B4871"/>
    <w:rsid w:val="009E0390"/>
    <w:rsid w:val="00A36547"/>
    <w:rsid w:val="00A41B27"/>
    <w:rsid w:val="00AB7BED"/>
    <w:rsid w:val="00B51C85"/>
    <w:rsid w:val="00B774DC"/>
    <w:rsid w:val="00B8030B"/>
    <w:rsid w:val="00B84D0E"/>
    <w:rsid w:val="00B873F7"/>
    <w:rsid w:val="00BF2311"/>
    <w:rsid w:val="00BF60AC"/>
    <w:rsid w:val="00C247AE"/>
    <w:rsid w:val="00C56462"/>
    <w:rsid w:val="00C66AF5"/>
    <w:rsid w:val="00C820FF"/>
    <w:rsid w:val="00C853BC"/>
    <w:rsid w:val="00C90775"/>
    <w:rsid w:val="00DD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F681F7"/>
  <w15:chartTrackingRefBased/>
  <w15:docId w15:val="{E33BFD1B-CFAF-42F0-9750-60A3E8BC5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7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n-US"/>
      <w14:ligatures w14:val="none"/>
    </w:rPr>
  </w:style>
  <w:style w:type="paragraph" w:styleId="Ttol1">
    <w:name w:val="heading 1"/>
    <w:basedOn w:val="Normal"/>
    <w:next w:val="Normal"/>
    <w:link w:val="Ttol1Car"/>
    <w:uiPriority w:val="9"/>
    <w:qFormat/>
    <w:rsid w:val="00C90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rsid w:val="00C90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C90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C90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C90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C907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1"/>
    <w:unhideWhenUsed/>
    <w:qFormat/>
    <w:rsid w:val="00C907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C907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C907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C90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rsid w:val="00C90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C90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C90775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C90775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C90775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1"/>
    <w:rsid w:val="00C90775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C90775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C90775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C907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C90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C90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C90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90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C90775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C90775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C90775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C90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C90775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C90775"/>
    <w:rPr>
      <w:b/>
      <w:bCs/>
      <w:smallCaps/>
      <w:color w:val="0F4761" w:themeColor="accent1" w:themeShade="BF"/>
      <w:spacing w:val="5"/>
    </w:rPr>
  </w:style>
  <w:style w:type="paragraph" w:styleId="Capalera">
    <w:name w:val="header"/>
    <w:basedOn w:val="Normal"/>
    <w:link w:val="CapaleraCar"/>
    <w:uiPriority w:val="99"/>
    <w:unhideWhenUsed/>
    <w:rsid w:val="00B8030B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B8030B"/>
    <w:rPr>
      <w:rFonts w:ascii="Calibri" w:eastAsia="Calibri" w:hAnsi="Calibri" w:cs="Calibri"/>
      <w:kern w:val="0"/>
      <w:lang w:val="en-US"/>
      <w14:ligatures w14:val="none"/>
    </w:rPr>
  </w:style>
  <w:style w:type="paragraph" w:styleId="Peu">
    <w:name w:val="footer"/>
    <w:basedOn w:val="Normal"/>
    <w:link w:val="PeuCar"/>
    <w:uiPriority w:val="99"/>
    <w:unhideWhenUsed/>
    <w:rsid w:val="00B8030B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B8030B"/>
    <w:rPr>
      <w:rFonts w:ascii="Calibri" w:eastAsia="Calibri" w:hAnsi="Calibri" w:cs="Calibri"/>
      <w:kern w:val="0"/>
      <w:lang w:val="en-US"/>
      <w14:ligatures w14:val="none"/>
    </w:rPr>
  </w:style>
  <w:style w:type="table" w:styleId="Taulaambquadrcula">
    <w:name w:val="Table Grid"/>
    <w:basedOn w:val="Taulanormal"/>
    <w:uiPriority w:val="39"/>
    <w:rsid w:val="004A58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1B3A91AC2A8A4B8F181EAA8A1B531D" ma:contentTypeVersion="3" ma:contentTypeDescription="Crea un document nou" ma:contentTypeScope="" ma:versionID="c621112db9599c2289fc2741c04721c0">
  <xsd:schema xmlns:xsd="http://www.w3.org/2001/XMLSchema" xmlns:xs="http://www.w3.org/2001/XMLSchema" xmlns:p="http://schemas.microsoft.com/office/2006/metadata/properties" xmlns:ns2="fb719901-3445-46f8-a527-ea420480e422" targetNamespace="http://schemas.microsoft.com/office/2006/metadata/properties" ma:root="true" ma:fieldsID="e2721dcf6112c67d491071d99f33a609" ns2:_="">
    <xsd:import namespace="fb719901-3445-46f8-a527-ea420480e4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719901-3445-46f8-a527-ea420480e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C597D1-4151-48F5-A4E2-740672864FFE}"/>
</file>

<file path=customXml/itemProps2.xml><?xml version="1.0" encoding="utf-8"?>
<ds:datastoreItem xmlns:ds="http://schemas.openxmlformats.org/officeDocument/2006/customXml" ds:itemID="{985115D2-849C-4DD0-A80E-27BC54D6AB26}"/>
</file>

<file path=customXml/itemProps3.xml><?xml version="1.0" encoding="utf-8"?>
<ds:datastoreItem xmlns:ds="http://schemas.openxmlformats.org/officeDocument/2006/customXml" ds:itemID="{B9B14BB8-28B3-4459-85C6-ADB806ADB7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3882</Words>
  <Characters>22134</Characters>
  <Application>Microsoft Office Word</Application>
  <DocSecurity>0</DocSecurity>
  <Lines>184</Lines>
  <Paragraphs>51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Feliu Batlló Farriol</dc:creator>
  <cp:keywords/>
  <dc:description/>
  <cp:lastModifiedBy>GUERRERO RODRIGUEZ, EVA</cp:lastModifiedBy>
  <cp:revision>2</cp:revision>
  <cp:lastPrinted>2025-10-06T16:26:00Z</cp:lastPrinted>
  <dcterms:created xsi:type="dcterms:W3CDTF">2025-10-07T11:46:00Z</dcterms:created>
  <dcterms:modified xsi:type="dcterms:W3CDTF">2025-10-07T11:46:00Z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0x010100F51B3A91AC2A8A4B8F181EAA8A1B531D</vt:lpwstr>
  </property>
</Properties>
</file>